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8"/>
        <w:ind w:left="135" w:right="124" w:firstLine="7970"/>
        <w:jc w:val="left"/>
        <w:rPr>
          <w:b/>
          <w:sz w:val="36"/>
        </w:rPr>
      </w:pPr>
      <w:bookmarkStart w:name="Dôvodová na zverejnenie" w:id="1"/>
      <w:bookmarkEnd w:id="1"/>
      <w:r>
        <w:rPr/>
      </w:r>
      <w:r>
        <w:rPr>
          <w:b/>
          <w:sz w:val="36"/>
        </w:rPr>
        <w:t>Bod č. Zastupiteľstvo Bratislavského samosprávneho kraja</w:t>
      </w:r>
    </w:p>
    <w:p>
      <w:pPr>
        <w:pStyle w:val="BodyText"/>
        <w:spacing w:before="4"/>
        <w:rPr>
          <w:b/>
          <w:sz w:val="48"/>
        </w:rPr>
      </w:pPr>
    </w:p>
    <w:p>
      <w:pPr>
        <w:pStyle w:val="BodyText"/>
        <w:spacing w:line="252" w:lineRule="exact"/>
        <w:ind w:left="135"/>
      </w:pPr>
      <w:r>
        <w:rPr/>
        <w:t>Materiál na rokovanie Zastupiteľstva</w:t>
      </w:r>
    </w:p>
    <w:p>
      <w:pPr>
        <w:pStyle w:val="BodyText"/>
        <w:spacing w:line="252" w:lineRule="exact"/>
        <w:ind w:left="135"/>
      </w:pPr>
      <w:r>
        <w:rPr/>
        <w:t>Bratislavského samosprávneho kraja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9"/>
        <w:rPr>
          <w:sz w:val="19"/>
        </w:rPr>
      </w:pPr>
    </w:p>
    <w:p>
      <w:pPr>
        <w:pStyle w:val="Heading1"/>
      </w:pPr>
      <w:r>
        <w:rPr/>
        <w:t>Správa</w:t>
      </w:r>
    </w:p>
    <w:p>
      <w:pPr>
        <w:pStyle w:val="Heading2"/>
        <w:spacing w:before="230"/>
        <w:ind w:left="959" w:right="961"/>
      </w:pPr>
      <w:r>
        <w:rPr/>
        <w:t>o vykonanej inventarizácii nehnuteľného majetku Bratislavského</w:t>
      </w:r>
    </w:p>
    <w:p>
      <w:pPr>
        <w:spacing w:before="2"/>
        <w:ind w:left="959" w:right="959" w:firstLine="0"/>
        <w:jc w:val="center"/>
        <w:rPr>
          <w:b/>
          <w:sz w:val="24"/>
        </w:rPr>
      </w:pPr>
      <w:r>
        <w:rPr/>
        <w:pict>
          <v:line style="position:absolute;mso-position-horizontal-relative:page;mso-position-vertical-relative:paragraph;z-index:0;mso-wrap-distance-left:0;mso-wrap-distance-right:0" from="69.360001pt,15.315865pt" to="525.840001pt,15.315865pt" stroked="true" strokeweight=".48pt" strokecolor="#000000">
            <v:stroke dashstyle="solid"/>
            <w10:wrap type="topAndBottom"/>
          </v:line>
        </w:pict>
      </w:r>
      <w:r>
        <w:rPr>
          <w:b/>
          <w:sz w:val="24"/>
        </w:rPr>
        <w:t>samosprávneho kraja za rok 2016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1"/>
        </w:rPr>
      </w:pPr>
    </w:p>
    <w:p>
      <w:pPr>
        <w:pStyle w:val="BodyText"/>
        <w:tabs>
          <w:tab w:pos="5799" w:val="left" w:leader="none"/>
        </w:tabs>
        <w:spacing w:before="94"/>
        <w:ind w:left="135"/>
      </w:pPr>
      <w:r>
        <w:rPr>
          <w:u w:val="single"/>
        </w:rPr>
        <w:t>Materiál</w:t>
      </w:r>
      <w:r>
        <w:rPr>
          <w:spacing w:val="-3"/>
          <w:u w:val="single"/>
        </w:rPr>
        <w:t> </w:t>
      </w:r>
      <w:r>
        <w:rPr>
          <w:u w:val="single"/>
        </w:rPr>
        <w:t>predkladá:</w:t>
      </w:r>
      <w:r>
        <w:rPr/>
        <w:tab/>
      </w:r>
      <w:r>
        <w:rPr>
          <w:u w:val="single"/>
        </w:rPr>
        <w:t>Materiál</w:t>
      </w:r>
      <w:r>
        <w:rPr>
          <w:spacing w:val="-7"/>
          <w:u w:val="single"/>
        </w:rPr>
        <w:t> </w:t>
      </w:r>
      <w:r>
        <w:rPr>
          <w:u w:val="single"/>
        </w:rPr>
        <w:t>obsahuje:</w:t>
      </w:r>
    </w:p>
    <w:p>
      <w:pPr>
        <w:pStyle w:val="BodyText"/>
        <w:spacing w:before="10"/>
        <w:rPr>
          <w:sz w:val="13"/>
        </w:rPr>
      </w:pPr>
    </w:p>
    <w:p>
      <w:pPr>
        <w:pStyle w:val="BodyText"/>
        <w:tabs>
          <w:tab w:pos="5800" w:val="left" w:leader="none"/>
        </w:tabs>
        <w:spacing w:line="252" w:lineRule="exact" w:before="94"/>
        <w:ind w:left="135"/>
      </w:pPr>
      <w:r>
        <w:rPr/>
        <w:t>Ing.</w:t>
      </w:r>
      <w:r>
        <w:rPr>
          <w:spacing w:val="-3"/>
        </w:rPr>
        <w:t> </w:t>
      </w:r>
      <w:r>
        <w:rPr/>
        <w:t>Igor Bendík</w:t>
        <w:tab/>
        <w:t>1. Návrh</w:t>
      </w:r>
      <w:r>
        <w:rPr>
          <w:spacing w:val="-8"/>
        </w:rPr>
        <w:t> </w:t>
      </w:r>
      <w:r>
        <w:rPr/>
        <w:t>uznesenia</w:t>
      </w:r>
    </w:p>
    <w:p>
      <w:pPr>
        <w:pStyle w:val="BodyText"/>
        <w:tabs>
          <w:tab w:pos="5800" w:val="left" w:leader="none"/>
        </w:tabs>
        <w:spacing w:line="252" w:lineRule="exact"/>
        <w:ind w:left="136"/>
      </w:pPr>
      <w:r>
        <w:rPr/>
        <w:t>podpredseda</w:t>
      </w:r>
      <w:r>
        <w:rPr>
          <w:spacing w:val="-5"/>
        </w:rPr>
        <w:t> </w:t>
      </w:r>
      <w:r>
        <w:rPr/>
        <w:t>Bratislavského</w:t>
        <w:tab/>
        <w:t>2. Dôvodová</w:t>
      </w:r>
      <w:r>
        <w:rPr>
          <w:spacing w:val="-10"/>
        </w:rPr>
        <w:t> </w:t>
      </w:r>
      <w:r>
        <w:rPr/>
        <w:t>správa</w:t>
      </w:r>
    </w:p>
    <w:p>
      <w:pPr>
        <w:pStyle w:val="BodyText"/>
        <w:tabs>
          <w:tab w:pos="5801" w:val="left" w:leader="none"/>
        </w:tabs>
        <w:spacing w:before="1"/>
        <w:ind w:left="137"/>
      </w:pPr>
      <w:r>
        <w:rPr/>
        <w:t>samosprávneho</w:t>
      </w:r>
      <w:r>
        <w:rPr>
          <w:spacing w:val="-4"/>
        </w:rPr>
        <w:t> </w:t>
      </w:r>
      <w:r>
        <w:rPr/>
        <w:t>kraja</w:t>
        <w:tab/>
        <w:t>3. Stanoviská</w:t>
      </w:r>
      <w:r>
        <w:rPr>
          <w:spacing w:val="-6"/>
        </w:rPr>
        <w:t> </w:t>
      </w:r>
      <w:r>
        <w:rPr/>
        <w:t>komisií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83"/>
        <w:ind w:left="135"/>
      </w:pPr>
      <w:r>
        <w:rPr>
          <w:u w:val="single"/>
        </w:rPr>
        <w:t>Zodpovedný:</w:t>
      </w:r>
    </w:p>
    <w:p>
      <w:pPr>
        <w:pStyle w:val="BodyText"/>
        <w:spacing w:before="7"/>
        <w:rPr>
          <w:sz w:val="13"/>
        </w:rPr>
      </w:pPr>
    </w:p>
    <w:p>
      <w:pPr>
        <w:pStyle w:val="BodyText"/>
        <w:spacing w:before="93"/>
        <w:ind w:left="135"/>
      </w:pPr>
      <w:r>
        <w:rPr/>
        <w:t>JUDr. Ing. Ján Keselý</w:t>
      </w:r>
    </w:p>
    <w:p>
      <w:pPr>
        <w:pStyle w:val="BodyText"/>
        <w:spacing w:line="252" w:lineRule="exact"/>
        <w:ind w:left="135"/>
      </w:pPr>
      <w:r>
        <w:rPr/>
        <w:t>riaditeľ Odboru investičných činností,</w:t>
      </w:r>
    </w:p>
    <w:p>
      <w:pPr>
        <w:pStyle w:val="BodyText"/>
        <w:spacing w:line="252" w:lineRule="exact"/>
        <w:ind w:left="136"/>
      </w:pPr>
      <w:r>
        <w:rPr/>
        <w:t>správy majetku a verejného obstarávania</w:t>
      </w:r>
    </w:p>
    <w:p>
      <w:pPr>
        <w:pStyle w:val="BodyText"/>
        <w:rPr>
          <w:sz w:val="24"/>
        </w:rPr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136"/>
      </w:pPr>
      <w:r>
        <w:rPr/>
        <w:t>Mgr. Gabriela Papánová</w:t>
      </w:r>
    </w:p>
    <w:p>
      <w:pPr>
        <w:pStyle w:val="BodyText"/>
        <w:spacing w:before="1"/>
        <w:ind w:left="136"/>
      </w:pPr>
      <w:r>
        <w:rPr/>
        <w:t>vedúca oddelenia správy majetku</w:t>
      </w:r>
    </w:p>
    <w:p>
      <w:pPr>
        <w:pStyle w:val="BodyText"/>
        <w:rPr>
          <w:sz w:val="24"/>
        </w:rPr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135"/>
      </w:pPr>
      <w:r>
        <w:rPr>
          <w:u w:val="single"/>
        </w:rPr>
        <w:t>Spracovateľ:</w:t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spacing w:line="252" w:lineRule="exact" w:before="94"/>
        <w:ind w:left="135"/>
      </w:pPr>
      <w:r>
        <w:rPr/>
        <w:t>Mgr. Dana Markošová</w:t>
      </w:r>
    </w:p>
    <w:p>
      <w:pPr>
        <w:pStyle w:val="BodyText"/>
        <w:spacing w:line="252" w:lineRule="exact"/>
        <w:ind w:left="135"/>
      </w:pPr>
      <w:r>
        <w:rPr/>
        <w:t>referent oddelenia správy majetku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94"/>
        <w:ind w:left="4090" w:right="4089" w:hanging="7"/>
        <w:jc w:val="center"/>
      </w:pPr>
      <w:r>
        <w:rPr/>
        <w:t>Bratislava marec 2017</w:t>
      </w:r>
    </w:p>
    <w:p>
      <w:pPr>
        <w:spacing w:after="0"/>
        <w:jc w:val="center"/>
        <w:sectPr>
          <w:type w:val="continuous"/>
          <w:pgSz w:w="11910" w:h="16840"/>
          <w:pgMar w:top="900" w:bottom="280" w:left="1280" w:right="1280"/>
        </w:sectPr>
      </w:pPr>
    </w:p>
    <w:p>
      <w:pPr>
        <w:tabs>
          <w:tab w:pos="1125" w:val="left" w:leader="none"/>
        </w:tabs>
        <w:spacing w:before="71"/>
        <w:ind w:left="0" w:right="52" w:firstLine="0"/>
        <w:jc w:val="center"/>
        <w:rPr>
          <w:sz w:val="24"/>
        </w:rPr>
      </w:pPr>
      <w:r>
        <w:rPr>
          <w:sz w:val="24"/>
        </w:rPr>
        <w:t>N </w:t>
      </w:r>
      <w:r>
        <w:rPr>
          <w:spacing w:val="3"/>
          <w:sz w:val="24"/>
        </w:rPr>
        <w:t>á </w:t>
      </w:r>
      <w:r>
        <w:rPr>
          <w:sz w:val="24"/>
        </w:rPr>
        <w:t>v r</w:t>
      </w:r>
      <w:r>
        <w:rPr>
          <w:spacing w:val="1"/>
          <w:sz w:val="24"/>
        </w:rPr>
        <w:t> </w:t>
      </w:r>
      <w:r>
        <w:rPr>
          <w:sz w:val="24"/>
        </w:rPr>
        <w:t>h</w:t>
        <w:tab/>
        <w:t>u z </w:t>
      </w:r>
      <w:r>
        <w:rPr>
          <w:spacing w:val="3"/>
          <w:sz w:val="24"/>
        </w:rPr>
        <w:t>n e </w:t>
      </w:r>
      <w:r>
        <w:rPr>
          <w:sz w:val="24"/>
        </w:rPr>
        <w:t>s </w:t>
      </w:r>
      <w:r>
        <w:rPr>
          <w:spacing w:val="3"/>
          <w:sz w:val="24"/>
        </w:rPr>
        <w:t>e n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a</w:t>
      </w:r>
    </w:p>
    <w:p>
      <w:pPr>
        <w:pStyle w:val="BodyText"/>
        <w:rPr>
          <w:sz w:val="26"/>
        </w:rPr>
      </w:pPr>
    </w:p>
    <w:p>
      <w:pPr>
        <w:pStyle w:val="BodyText"/>
      </w:pPr>
    </w:p>
    <w:p>
      <w:pPr>
        <w:pStyle w:val="Heading2"/>
        <w:ind w:left="68"/>
      </w:pPr>
      <w:r>
        <w:rPr/>
        <w:t>UZNESENIE č. ........... / 2017</w:t>
      </w:r>
    </w:p>
    <w:p>
      <w:pPr>
        <w:pStyle w:val="BodyText"/>
        <w:spacing w:before="1"/>
        <w:ind w:left="69" w:right="49"/>
        <w:jc w:val="center"/>
      </w:pPr>
      <w:r>
        <w:rPr/>
        <w:t>zo dňa 31.03.2017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9"/>
        <w:rPr>
          <w:sz w:val="23"/>
        </w:rPr>
      </w:pPr>
    </w:p>
    <w:p>
      <w:pPr>
        <w:pStyle w:val="BodyText"/>
        <w:ind w:left="115"/>
      </w:pPr>
      <w:r>
        <w:rPr/>
        <w:t>Zastupiteľstvo Bratislavského samosprávneho kraja po prerokovaní materiálu</w:t>
      </w:r>
    </w:p>
    <w:p>
      <w:pPr>
        <w:pStyle w:val="BodyText"/>
        <w:spacing w:before="9"/>
        <w:rPr>
          <w:sz w:val="21"/>
        </w:rPr>
      </w:pPr>
    </w:p>
    <w:p>
      <w:pPr>
        <w:pStyle w:val="Heading2"/>
        <w:tabs>
          <w:tab w:pos="1060" w:val="left" w:leader="none"/>
          <w:tab w:pos="1619" w:val="left" w:leader="none"/>
        </w:tabs>
      </w:pPr>
      <w:r>
        <w:rPr/>
        <w:t>b </w:t>
      </w:r>
      <w:r>
        <w:rPr>
          <w:spacing w:val="3"/>
        </w:rPr>
        <w:t>e </w:t>
      </w:r>
      <w:r>
        <w:rPr/>
        <w:t>r</w:t>
      </w:r>
      <w:r>
        <w:rPr>
          <w:spacing w:val="1"/>
        </w:rPr>
        <w:t> </w:t>
      </w:r>
      <w:r>
        <w:rPr/>
        <w:t>i</w:t>
      </w:r>
      <w:r>
        <w:rPr>
          <w:spacing w:val="3"/>
        </w:rPr>
        <w:t> </w:t>
      </w:r>
      <w:r>
        <w:rPr/>
        <w:t>e</w:t>
        <w:tab/>
        <w:t>n</w:t>
      </w:r>
      <w:r>
        <w:rPr>
          <w:spacing w:val="2"/>
        </w:rPr>
        <w:t> </w:t>
      </w:r>
      <w:r>
        <w:rPr/>
        <w:t>a</w:t>
        <w:tab/>
        <w:t>v </w:t>
      </w:r>
      <w:r>
        <w:rPr>
          <w:spacing w:val="3"/>
        </w:rPr>
        <w:t>e </w:t>
      </w:r>
      <w:r>
        <w:rPr/>
        <w:t>d o m i</w:t>
      </w:r>
      <w:r>
        <w:rPr>
          <w:spacing w:val="8"/>
        </w:rPr>
        <w:t> </w:t>
      </w:r>
      <w:r>
        <w:rPr/>
        <w:t>e</w:t>
      </w:r>
    </w:p>
    <w:p>
      <w:pPr>
        <w:pStyle w:val="BodyText"/>
        <w:rPr>
          <w:b/>
        </w:rPr>
      </w:pPr>
    </w:p>
    <w:p>
      <w:pPr>
        <w:pStyle w:val="BodyText"/>
        <w:ind w:left="67" w:right="52"/>
        <w:jc w:val="center"/>
      </w:pPr>
      <w:r>
        <w:rPr/>
        <w:t>správu o vykonanej inventarizácii nehnuteľného majetku Bratislavského samosprávneho kraja</w:t>
      </w:r>
    </w:p>
    <w:p>
      <w:pPr>
        <w:pStyle w:val="BodyText"/>
        <w:ind w:left="116"/>
      </w:pPr>
      <w:r>
        <w:rPr/>
        <w:t>za rok 2016, s celkovou účtovnou hodnotou k 31.12.2016 :</w:t>
      </w: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tabs>
          <w:tab w:pos="475" w:val="left" w:leader="none"/>
          <w:tab w:pos="4025" w:val="left" w:leader="none"/>
          <w:tab w:pos="5775" w:val="left" w:leader="none"/>
        </w:tabs>
        <w:spacing w:line="252" w:lineRule="exact"/>
        <w:ind w:left="115"/>
        <w:rPr>
          <w:sz w:val="20"/>
        </w:rPr>
      </w:pPr>
      <w:r>
        <w:rPr>
          <w:rFonts w:ascii="Symbol" w:hAnsi="Symbol"/>
          <w:sz w:val="20"/>
        </w:rPr>
        <w:t></w:t>
      </w:r>
      <w:r>
        <w:rPr>
          <w:rFonts w:ascii="Times New Roman" w:hAnsi="Times New Roman"/>
          <w:sz w:val="20"/>
        </w:rPr>
        <w:tab/>
      </w:r>
      <w:r>
        <w:rPr/>
        <w:t>budovy a stavby (účet</w:t>
      </w:r>
      <w:r>
        <w:rPr>
          <w:spacing w:val="-8"/>
        </w:rPr>
        <w:t> </w:t>
      </w:r>
      <w:r>
        <w:rPr/>
        <w:t>021)</w:t>
      </w:r>
      <w:r>
        <w:rPr>
          <w:spacing w:val="-2"/>
        </w:rPr>
        <w:t> </w:t>
      </w:r>
      <w:r>
        <w:rPr/>
        <w:t>:</w:t>
        <w:tab/>
        <w:t>240</w:t>
      </w:r>
      <w:r>
        <w:rPr>
          <w:spacing w:val="-3"/>
        </w:rPr>
        <w:t> </w:t>
      </w:r>
      <w:r>
        <w:rPr/>
        <w:t>377</w:t>
      </w:r>
      <w:r>
        <w:rPr>
          <w:spacing w:val="-1"/>
        </w:rPr>
        <w:t> </w:t>
      </w:r>
      <w:r>
        <w:rPr/>
        <w:t>892,51</w:t>
        <w:tab/>
      </w:r>
      <w:r>
        <w:rPr>
          <w:sz w:val="20"/>
        </w:rPr>
        <w:t>€</w:t>
      </w:r>
    </w:p>
    <w:p>
      <w:pPr>
        <w:pStyle w:val="BodyText"/>
        <w:tabs>
          <w:tab w:pos="476" w:val="left" w:leader="none"/>
          <w:tab w:pos="4148" w:val="left" w:leader="none"/>
          <w:tab w:pos="5775" w:val="left" w:leader="none"/>
        </w:tabs>
        <w:spacing w:line="269" w:lineRule="exact"/>
        <w:ind w:left="115"/>
        <w:rPr>
          <w:sz w:val="20"/>
        </w:rPr>
      </w:pPr>
      <w:r>
        <w:rPr>
          <w:rFonts w:ascii="Symbol" w:hAnsi="Symbol"/>
        </w:rPr>
        <w:t></w:t>
      </w:r>
      <w:r>
        <w:rPr>
          <w:rFonts w:ascii="Times New Roman" w:hAnsi="Times New Roman"/>
        </w:rPr>
        <w:tab/>
      </w:r>
      <w:r>
        <w:rPr/>
        <w:t>pozemky (účet</w:t>
      </w:r>
      <w:r>
        <w:rPr>
          <w:spacing w:val="-3"/>
        </w:rPr>
        <w:t> </w:t>
      </w:r>
      <w:r>
        <w:rPr/>
        <w:t>031)</w:t>
      </w:r>
      <w:r>
        <w:rPr>
          <w:spacing w:val="-3"/>
        </w:rPr>
        <w:t> </w:t>
      </w:r>
      <w:r>
        <w:rPr/>
        <w:t>:</w:t>
        <w:tab/>
        <w:t>85</w:t>
      </w:r>
      <w:r>
        <w:rPr>
          <w:spacing w:val="-3"/>
        </w:rPr>
        <w:t> </w:t>
      </w:r>
      <w:r>
        <w:rPr/>
        <w:t>407</w:t>
      </w:r>
      <w:r>
        <w:rPr>
          <w:spacing w:val="-1"/>
        </w:rPr>
        <w:t> </w:t>
      </w:r>
      <w:r>
        <w:rPr/>
        <w:t>233,77</w:t>
        <w:tab/>
      </w:r>
      <w:r>
        <w:rPr>
          <w:sz w:val="20"/>
        </w:rPr>
        <w:t>€</w:t>
      </w:r>
    </w:p>
    <w:p>
      <w:pPr>
        <w:spacing w:after="0" w:line="269" w:lineRule="exact"/>
        <w:rPr>
          <w:sz w:val="20"/>
        </w:rPr>
        <w:sectPr>
          <w:pgSz w:w="11910" w:h="16840"/>
          <w:pgMar w:top="900" w:bottom="280" w:left="1300" w:right="1320"/>
        </w:sectPr>
      </w:pPr>
    </w:p>
    <w:p>
      <w:pPr>
        <w:pStyle w:val="Heading2"/>
        <w:tabs>
          <w:tab w:pos="1828" w:val="left" w:leader="none"/>
        </w:tabs>
        <w:spacing w:before="71"/>
        <w:ind w:right="1"/>
      </w:pPr>
      <w:r>
        <w:rPr/>
        <w:t>D ô v o d o v</w:t>
      </w:r>
      <w:r>
        <w:rPr>
          <w:spacing w:val="-4"/>
        </w:rPr>
        <w:t> </w:t>
      </w:r>
      <w:r>
        <w:rPr/>
        <w:t>á</w:t>
        <w:tab/>
        <w:t>s p r á v</w:t>
      </w:r>
      <w:r>
        <w:rPr>
          <w:spacing w:val="-8"/>
        </w:rPr>
        <w:t> </w:t>
      </w:r>
      <w:r>
        <w:rPr/>
        <w:t>a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116" w:right="113" w:firstLine="707"/>
        <w:jc w:val="both"/>
      </w:pPr>
      <w:r>
        <w:rPr/>
        <w:t>Bratislavský samosprávny kraj je vlastníkom nehnuteľného majetku v správe Úradu Bratislavského samosprávneho kraja a v správe jednotlivých organizácii v zriaďovateľskej pôsobnosti BSK.</w:t>
      </w:r>
    </w:p>
    <w:p>
      <w:pPr>
        <w:pStyle w:val="BodyText"/>
      </w:pPr>
    </w:p>
    <w:p>
      <w:pPr>
        <w:pStyle w:val="BodyText"/>
        <w:ind w:left="116" w:right="116" w:firstLine="708"/>
        <w:jc w:val="both"/>
      </w:pPr>
      <w:r>
        <w:rPr/>
        <w:t>Odbor investičných činností, správy majetku a verejného obstarávania - oddelenie správy</w:t>
      </w:r>
      <w:r>
        <w:rPr>
          <w:spacing w:val="-17"/>
        </w:rPr>
        <w:t> </w:t>
      </w:r>
      <w:r>
        <w:rPr/>
        <w:t>majetku</w:t>
      </w:r>
      <w:r>
        <w:rPr>
          <w:spacing w:val="-15"/>
        </w:rPr>
        <w:t> </w:t>
      </w:r>
      <w:r>
        <w:rPr/>
        <w:t>Úradu</w:t>
      </w:r>
      <w:r>
        <w:rPr>
          <w:spacing w:val="-15"/>
        </w:rPr>
        <w:t> </w:t>
      </w:r>
      <w:r>
        <w:rPr/>
        <w:t>Bratislavského</w:t>
      </w:r>
      <w:r>
        <w:rPr>
          <w:spacing w:val="-15"/>
        </w:rPr>
        <w:t> </w:t>
      </w:r>
      <w:r>
        <w:rPr/>
        <w:t>samosprávneho</w:t>
      </w:r>
      <w:r>
        <w:rPr>
          <w:spacing w:val="-15"/>
        </w:rPr>
        <w:t> </w:t>
      </w:r>
      <w:r>
        <w:rPr/>
        <w:t>kraja</w:t>
      </w:r>
      <w:r>
        <w:rPr>
          <w:spacing w:val="-19"/>
        </w:rPr>
        <w:t> </w:t>
      </w:r>
      <w:r>
        <w:rPr/>
        <w:t>každoročne</w:t>
      </w:r>
      <w:r>
        <w:rPr>
          <w:spacing w:val="-15"/>
        </w:rPr>
        <w:t> </w:t>
      </w:r>
      <w:r>
        <w:rPr/>
        <w:t>pripravuje</w:t>
      </w:r>
      <w:r>
        <w:rPr>
          <w:spacing w:val="-15"/>
        </w:rPr>
        <w:t> </w:t>
      </w:r>
      <w:r>
        <w:rPr/>
        <w:t>materiál</w:t>
      </w:r>
      <w:r>
        <w:rPr>
          <w:spacing w:val="-15"/>
        </w:rPr>
        <w:t> </w:t>
      </w:r>
      <w:r>
        <w:rPr/>
        <w:t>na rokovanie Zastupiteľstva BSK, v ktorom informuje o aktuálnom stave nehnuteľného majetku za predchádzajúci kalendárny</w:t>
      </w:r>
      <w:r>
        <w:rPr>
          <w:spacing w:val="-14"/>
        </w:rPr>
        <w:t> </w:t>
      </w:r>
      <w:r>
        <w:rPr/>
        <w:t>rok.</w:t>
      </w:r>
    </w:p>
    <w:p>
      <w:pPr>
        <w:pStyle w:val="BodyText"/>
      </w:pPr>
    </w:p>
    <w:p>
      <w:pPr>
        <w:pStyle w:val="BodyText"/>
        <w:ind w:left="115" w:right="113" w:firstLine="708"/>
        <w:jc w:val="both"/>
      </w:pPr>
      <w:r>
        <w:rPr/>
        <w:t>Materiál je spracovaný podľa jednotlivých organizácií v zriaďovateľskej pôsobnosti BSK, ktoré majú majetok zverený v zmysle platných protokolov o zverení majetku do správy. Ďalšiu časť tvorí súpis nehnuteľného majetku, ktorý je v súčasnosti v správe Úradu BSK.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ind w:left="115" w:right="114" w:firstLine="708"/>
        <w:jc w:val="both"/>
      </w:pPr>
      <w:r>
        <w:rPr/>
        <w:t>Materiál  neobsahuje  informácie   o technickom  stave   nehnuteľného  majetku,   ani o potrebe opráv a výške prípadných investícií. V súčasnosti Odbor investičných činností, správy</w:t>
      </w:r>
      <w:r>
        <w:rPr>
          <w:spacing w:val="-18"/>
        </w:rPr>
        <w:t> </w:t>
      </w:r>
      <w:r>
        <w:rPr/>
        <w:t>majetku</w:t>
      </w:r>
      <w:r>
        <w:rPr>
          <w:spacing w:val="-16"/>
        </w:rPr>
        <w:t> </w:t>
      </w:r>
      <w:r>
        <w:rPr/>
        <w:t>a</w:t>
      </w:r>
      <w:r>
        <w:rPr>
          <w:spacing w:val="-6"/>
        </w:rPr>
        <w:t> </w:t>
      </w:r>
      <w:r>
        <w:rPr/>
        <w:t>verejného</w:t>
      </w:r>
      <w:r>
        <w:rPr>
          <w:spacing w:val="-16"/>
        </w:rPr>
        <w:t> </w:t>
      </w:r>
      <w:r>
        <w:rPr/>
        <w:t>obstarávania</w:t>
      </w:r>
      <w:r>
        <w:rPr>
          <w:spacing w:val="-16"/>
        </w:rPr>
        <w:t> </w:t>
      </w:r>
      <w:r>
        <w:rPr/>
        <w:t>–</w:t>
      </w:r>
      <w:r>
        <w:rPr>
          <w:spacing w:val="-17"/>
        </w:rPr>
        <w:t> </w:t>
      </w:r>
      <w:r>
        <w:rPr/>
        <w:t>rozpracoval</w:t>
      </w:r>
      <w:r>
        <w:rPr>
          <w:spacing w:val="-16"/>
        </w:rPr>
        <w:t> </w:t>
      </w:r>
      <w:r>
        <w:rPr/>
        <w:t>verejné</w:t>
      </w:r>
      <w:r>
        <w:rPr>
          <w:spacing w:val="-16"/>
        </w:rPr>
        <w:t> </w:t>
      </w:r>
      <w:r>
        <w:rPr/>
        <w:t>obstarávanie</w:t>
      </w:r>
      <w:r>
        <w:rPr>
          <w:spacing w:val="-16"/>
        </w:rPr>
        <w:t> </w:t>
      </w:r>
      <w:r>
        <w:rPr/>
        <w:t>na</w:t>
      </w:r>
      <w:r>
        <w:rPr>
          <w:spacing w:val="-16"/>
        </w:rPr>
        <w:t> </w:t>
      </w:r>
      <w:r>
        <w:rPr/>
        <w:t>údržbu</w:t>
      </w:r>
      <w:r>
        <w:rPr>
          <w:spacing w:val="-16"/>
        </w:rPr>
        <w:t> </w:t>
      </w:r>
      <w:r>
        <w:rPr/>
        <w:t>budov OVZP ako i budov v správe Úradu BSK. Súčasťou celého procesu bude i vypracovanie podrobnej pasportizácie nehnuteľného majetku všetkých objektov vo vlastníctve</w:t>
      </w:r>
      <w:r>
        <w:rPr>
          <w:spacing w:val="-34"/>
        </w:rPr>
        <w:t> </w:t>
      </w:r>
      <w:r>
        <w:rPr/>
        <w:t>BSK.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15" w:right="115" w:firstLine="708"/>
        <w:jc w:val="both"/>
      </w:pPr>
      <w:r>
        <w:rPr/>
        <w:t>BSK</w:t>
      </w:r>
      <w:r>
        <w:rPr>
          <w:spacing w:val="-7"/>
        </w:rPr>
        <w:t> </w:t>
      </w:r>
      <w:r>
        <w:rPr/>
        <w:t>má</w:t>
      </w:r>
      <w:r>
        <w:rPr>
          <w:spacing w:val="-6"/>
        </w:rPr>
        <w:t> </w:t>
      </w:r>
      <w:r>
        <w:rPr/>
        <w:t>vo</w:t>
      </w:r>
      <w:r>
        <w:rPr>
          <w:spacing w:val="-6"/>
        </w:rPr>
        <w:t> </w:t>
      </w:r>
      <w:r>
        <w:rPr/>
        <w:t>vlastníctve</w:t>
      </w:r>
      <w:r>
        <w:rPr>
          <w:spacing w:val="-6"/>
        </w:rPr>
        <w:t> </w:t>
      </w:r>
      <w:r>
        <w:rPr/>
        <w:t>aj</w:t>
      </w:r>
      <w:r>
        <w:rPr>
          <w:spacing w:val="-5"/>
        </w:rPr>
        <w:t> </w:t>
      </w:r>
      <w:r>
        <w:rPr/>
        <w:t>nehnuteľný</w:t>
      </w:r>
      <w:r>
        <w:rPr>
          <w:spacing w:val="-8"/>
        </w:rPr>
        <w:t> </w:t>
      </w:r>
      <w:r>
        <w:rPr/>
        <w:t>majetok,</w:t>
      </w:r>
      <w:r>
        <w:rPr>
          <w:spacing w:val="-7"/>
        </w:rPr>
        <w:t> </w:t>
      </w:r>
      <w:r>
        <w:rPr/>
        <w:t>ktorý</w:t>
      </w:r>
      <w:r>
        <w:rPr>
          <w:spacing w:val="-8"/>
        </w:rPr>
        <w:t> </w:t>
      </w:r>
      <w:r>
        <w:rPr/>
        <w:t>je</w:t>
      </w:r>
      <w:r>
        <w:rPr>
          <w:spacing w:val="-6"/>
        </w:rPr>
        <w:t> </w:t>
      </w:r>
      <w:r>
        <w:rPr/>
        <w:t>zapísaný</w:t>
      </w:r>
      <w:r>
        <w:rPr>
          <w:spacing w:val="-8"/>
        </w:rPr>
        <w:t> </w:t>
      </w:r>
      <w:r>
        <w:rPr/>
        <w:t>v zozname</w:t>
      </w:r>
      <w:r>
        <w:rPr>
          <w:spacing w:val="-6"/>
        </w:rPr>
        <w:t> </w:t>
      </w:r>
      <w:r>
        <w:rPr/>
        <w:t>národných kultúrnych pamiatok, spolu 19 budov a 2</w:t>
      </w:r>
      <w:r>
        <w:rPr>
          <w:spacing w:val="-17"/>
        </w:rPr>
        <w:t> </w:t>
      </w:r>
      <w:r>
        <w:rPr/>
        <w:t>parky.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15" w:right="116" w:firstLine="707"/>
        <w:jc w:val="both"/>
      </w:pPr>
      <w:r>
        <w:rPr/>
        <w:t>K 31.12.2016 je v zmysle uznesení Zastupiteľstva BSK vyhlásený za prebytočný nehnuteľný majetok :</w:t>
      </w:r>
    </w:p>
    <w:p>
      <w:pPr>
        <w:pStyle w:val="ListParagraph"/>
        <w:numPr>
          <w:ilvl w:val="0"/>
          <w:numId w:val="1"/>
        </w:numPr>
        <w:tabs>
          <w:tab w:pos="1180" w:val="left" w:leader="none"/>
          <w:tab w:pos="1181" w:val="left" w:leader="none"/>
        </w:tabs>
        <w:spacing w:line="251" w:lineRule="exact" w:before="0" w:after="0"/>
        <w:ind w:left="1180" w:right="0" w:hanging="359"/>
        <w:jc w:val="left"/>
        <w:rPr>
          <w:sz w:val="22"/>
        </w:rPr>
      </w:pPr>
      <w:r>
        <w:rPr>
          <w:sz w:val="22"/>
        </w:rPr>
        <w:t>budova pre školstvo,vzdel.a výskum</w:t>
      </w:r>
      <w:r>
        <w:rPr>
          <w:spacing w:val="-23"/>
          <w:sz w:val="22"/>
        </w:rPr>
        <w:t> </w:t>
      </w:r>
      <w:r>
        <w:rPr>
          <w:sz w:val="22"/>
        </w:rPr>
        <w:t>Pezinok</w:t>
      </w:r>
    </w:p>
    <w:p>
      <w:pPr>
        <w:pStyle w:val="ListParagraph"/>
        <w:numPr>
          <w:ilvl w:val="0"/>
          <w:numId w:val="1"/>
        </w:numPr>
        <w:tabs>
          <w:tab w:pos="1180" w:val="left" w:leader="none"/>
          <w:tab w:pos="1181" w:val="left" w:leader="none"/>
        </w:tabs>
        <w:spacing w:line="252" w:lineRule="exact" w:before="0" w:after="0"/>
        <w:ind w:left="1180" w:right="0" w:hanging="359"/>
        <w:jc w:val="left"/>
        <w:rPr>
          <w:sz w:val="22"/>
        </w:rPr>
      </w:pPr>
      <w:r>
        <w:rPr>
          <w:sz w:val="22"/>
        </w:rPr>
        <w:t>areál bývalého SOU energetického v Záhorskej</w:t>
      </w:r>
      <w:r>
        <w:rPr>
          <w:spacing w:val="-23"/>
          <w:sz w:val="22"/>
        </w:rPr>
        <w:t> </w:t>
      </w:r>
      <w:r>
        <w:rPr>
          <w:sz w:val="22"/>
        </w:rPr>
        <w:t>Bystrici;</w:t>
      </w:r>
    </w:p>
    <w:p>
      <w:pPr>
        <w:pStyle w:val="ListParagraph"/>
        <w:numPr>
          <w:ilvl w:val="0"/>
          <w:numId w:val="1"/>
        </w:numPr>
        <w:tabs>
          <w:tab w:pos="1180" w:val="left" w:leader="none"/>
          <w:tab w:pos="1181" w:val="left" w:leader="none"/>
        </w:tabs>
        <w:spacing w:line="252" w:lineRule="exact" w:before="1" w:after="0"/>
        <w:ind w:left="1180" w:right="0" w:hanging="360"/>
        <w:jc w:val="left"/>
        <w:rPr>
          <w:sz w:val="22"/>
        </w:rPr>
      </w:pPr>
      <w:r>
        <w:rPr>
          <w:sz w:val="22"/>
        </w:rPr>
        <w:t>chata v Kučišdorfskej Doline,</w:t>
      </w:r>
      <w:r>
        <w:rPr>
          <w:spacing w:val="-10"/>
          <w:sz w:val="22"/>
        </w:rPr>
        <w:t> </w:t>
      </w:r>
      <w:r>
        <w:rPr>
          <w:sz w:val="22"/>
        </w:rPr>
        <w:t>Pezinok;</w:t>
      </w:r>
    </w:p>
    <w:p>
      <w:pPr>
        <w:pStyle w:val="ListParagraph"/>
        <w:numPr>
          <w:ilvl w:val="0"/>
          <w:numId w:val="1"/>
        </w:numPr>
        <w:tabs>
          <w:tab w:pos="1180" w:val="left" w:leader="none"/>
          <w:tab w:pos="1181" w:val="left" w:leader="none"/>
        </w:tabs>
        <w:spacing w:line="252" w:lineRule="exact" w:before="0" w:after="0"/>
        <w:ind w:left="1180" w:right="0" w:hanging="360"/>
        <w:jc w:val="left"/>
        <w:rPr>
          <w:sz w:val="22"/>
        </w:rPr>
      </w:pPr>
      <w:r>
        <w:rPr>
          <w:sz w:val="22"/>
        </w:rPr>
        <w:t>muničné sklady v MČ Záhorská</w:t>
      </w:r>
      <w:r>
        <w:rPr>
          <w:spacing w:val="-14"/>
          <w:sz w:val="22"/>
        </w:rPr>
        <w:t> </w:t>
      </w:r>
      <w:r>
        <w:rPr>
          <w:sz w:val="22"/>
        </w:rPr>
        <w:t>Bystrica;</w:t>
      </w:r>
    </w:p>
    <w:p>
      <w:pPr>
        <w:pStyle w:val="ListParagraph"/>
        <w:numPr>
          <w:ilvl w:val="0"/>
          <w:numId w:val="1"/>
        </w:numPr>
        <w:tabs>
          <w:tab w:pos="1180" w:val="left" w:leader="none"/>
          <w:tab w:pos="1181" w:val="left" w:leader="none"/>
        </w:tabs>
        <w:spacing w:line="252" w:lineRule="exact" w:before="1" w:after="0"/>
        <w:ind w:left="1180" w:right="0" w:hanging="360"/>
        <w:jc w:val="left"/>
        <w:rPr>
          <w:sz w:val="22"/>
        </w:rPr>
      </w:pPr>
      <w:r>
        <w:rPr>
          <w:sz w:val="22"/>
        </w:rPr>
        <w:t>bývalý vojenský areál vo</w:t>
      </w:r>
      <w:r>
        <w:rPr>
          <w:spacing w:val="-15"/>
          <w:sz w:val="22"/>
        </w:rPr>
        <w:t> </w:t>
      </w:r>
      <w:r>
        <w:rPr>
          <w:sz w:val="22"/>
        </w:rPr>
        <w:t>Vajnoroch;</w:t>
      </w:r>
    </w:p>
    <w:p>
      <w:pPr>
        <w:pStyle w:val="ListParagraph"/>
        <w:numPr>
          <w:ilvl w:val="0"/>
          <w:numId w:val="1"/>
        </w:numPr>
        <w:tabs>
          <w:tab w:pos="1180" w:val="left" w:leader="none"/>
          <w:tab w:pos="1181" w:val="left" w:leader="none"/>
        </w:tabs>
        <w:spacing w:line="252" w:lineRule="exact" w:before="0" w:after="0"/>
        <w:ind w:left="1180" w:right="0" w:hanging="360"/>
        <w:jc w:val="left"/>
        <w:rPr>
          <w:sz w:val="22"/>
        </w:rPr>
      </w:pPr>
      <w:r>
        <w:rPr>
          <w:sz w:val="22"/>
        </w:rPr>
        <w:t>areál na Starej Vajnorskej 14 v</w:t>
      </w:r>
      <w:r>
        <w:rPr>
          <w:spacing w:val="-20"/>
          <w:sz w:val="22"/>
        </w:rPr>
        <w:t> </w:t>
      </w:r>
      <w:r>
        <w:rPr>
          <w:sz w:val="22"/>
        </w:rPr>
        <w:t>Bratislave;</w:t>
      </w:r>
    </w:p>
    <w:p>
      <w:pPr>
        <w:pStyle w:val="ListParagraph"/>
        <w:numPr>
          <w:ilvl w:val="0"/>
          <w:numId w:val="1"/>
        </w:numPr>
        <w:tabs>
          <w:tab w:pos="1180" w:val="left" w:leader="none"/>
          <w:tab w:pos="1181" w:val="left" w:leader="none"/>
        </w:tabs>
        <w:spacing w:line="252" w:lineRule="exact" w:before="0" w:after="0"/>
        <w:ind w:left="1180" w:right="0" w:hanging="360"/>
        <w:jc w:val="left"/>
        <w:rPr>
          <w:sz w:val="22"/>
        </w:rPr>
      </w:pPr>
      <w:r>
        <w:rPr>
          <w:sz w:val="22"/>
        </w:rPr>
        <w:t>budovy na Znievskej ul. 2 a Znievskej ul. 4 v Bratislave</w:t>
      </w:r>
      <w:r>
        <w:rPr>
          <w:spacing w:val="-26"/>
          <w:sz w:val="22"/>
        </w:rPr>
        <w:t> </w:t>
      </w:r>
      <w:r>
        <w:rPr>
          <w:sz w:val="22"/>
        </w:rPr>
        <w:t>(Petržalka);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14" w:right="117" w:firstLine="708"/>
        <w:jc w:val="both"/>
      </w:pPr>
      <w:r>
        <w:rPr/>
        <w:t>Pri vykonávaní inventarizácie nehnuteľného majetku k 31.12.2016 neboli zistené rozdiely. Evidencia majetku bola porovnávaná s evidenciou katastra nehnuteľností. Zmeny, ktoré nastali na LV boli upravené v evidencii majetku BSK. Išlo najmä o rozdelenie parciel na viacero parcelných čísiel pri zachovaní celkovej výmery m2 na základe vypracovaných geometrických plánov, napríklad pri predaji časti majetku BSK.</w:t>
      </w:r>
    </w:p>
    <w:p>
      <w:pPr>
        <w:pStyle w:val="BodyText"/>
        <w:spacing w:before="2"/>
      </w:pPr>
    </w:p>
    <w:p>
      <w:pPr>
        <w:pStyle w:val="BodyText"/>
        <w:ind w:left="115"/>
      </w:pPr>
      <w:r>
        <w:rPr>
          <w:u w:val="single"/>
        </w:rPr>
        <w:t>V priebehu roka 2016 došlo ku pohybu nehnuteľného majetku BSK.</w:t>
      </w:r>
    </w:p>
    <w:p>
      <w:pPr>
        <w:pStyle w:val="BodyText"/>
        <w:spacing w:before="9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477" w:val="left" w:leader="none"/>
        </w:tabs>
        <w:spacing w:line="240" w:lineRule="auto" w:before="0" w:after="0"/>
        <w:ind w:left="476" w:right="115" w:hanging="360"/>
        <w:jc w:val="both"/>
        <w:rPr>
          <w:sz w:val="22"/>
        </w:rPr>
      </w:pPr>
      <w:r>
        <w:rPr>
          <w:sz w:val="22"/>
        </w:rPr>
        <w:t>Zo správy Malokarpatského múzea bol prevzatý do správy Úradu BSK rodný dom J. Kupeckého z dôvodu predaja KZ v prospech Mesta Pezinok 19.12.2016 s osobitným zreteľom za účelom realizácie  rekonštrukcie tohto</w:t>
      </w:r>
      <w:r>
        <w:rPr>
          <w:spacing w:val="-22"/>
          <w:sz w:val="22"/>
        </w:rPr>
        <w:t> </w:t>
      </w:r>
      <w:r>
        <w:rPr>
          <w:sz w:val="22"/>
        </w:rPr>
        <w:t>objektu.</w:t>
      </w:r>
    </w:p>
    <w:p>
      <w:pPr>
        <w:pStyle w:val="ListParagraph"/>
        <w:numPr>
          <w:ilvl w:val="0"/>
          <w:numId w:val="2"/>
        </w:numPr>
        <w:tabs>
          <w:tab w:pos="477" w:val="left" w:leader="none"/>
        </w:tabs>
        <w:spacing w:line="252" w:lineRule="exact" w:before="20" w:after="0"/>
        <w:ind w:left="477" w:right="112" w:hanging="361"/>
        <w:jc w:val="both"/>
        <w:rPr>
          <w:sz w:val="22"/>
        </w:rPr>
      </w:pPr>
      <w:r>
        <w:rPr>
          <w:sz w:val="22"/>
        </w:rPr>
        <w:t>Oddelenie správy majetku prevzalo do správy Úradu BSK areál bývalého SOU energetického v Záhorskej Bystrici od</w:t>
      </w:r>
      <w:r>
        <w:rPr>
          <w:spacing w:val="-14"/>
          <w:sz w:val="22"/>
        </w:rPr>
        <w:t> </w:t>
      </w:r>
      <w:r>
        <w:rPr>
          <w:sz w:val="22"/>
        </w:rPr>
        <w:t>1.7.2016</w:t>
      </w:r>
    </w:p>
    <w:p>
      <w:pPr>
        <w:pStyle w:val="ListParagraph"/>
        <w:numPr>
          <w:ilvl w:val="0"/>
          <w:numId w:val="2"/>
        </w:numPr>
        <w:tabs>
          <w:tab w:pos="478" w:val="left" w:leader="none"/>
        </w:tabs>
        <w:spacing w:line="252" w:lineRule="exact" w:before="16" w:after="0"/>
        <w:ind w:left="477" w:right="113" w:hanging="360"/>
        <w:jc w:val="both"/>
        <w:rPr>
          <w:sz w:val="22"/>
        </w:rPr>
      </w:pPr>
      <w:r>
        <w:rPr>
          <w:sz w:val="22"/>
        </w:rPr>
        <w:t>Oddelenie správy majetku prevzalo do správy Úradu BSK areál bývalej SOŠ automobilovej J. Jonáša k</w:t>
      </w:r>
      <w:r>
        <w:rPr>
          <w:spacing w:val="-12"/>
          <w:sz w:val="22"/>
        </w:rPr>
        <w:t> </w:t>
      </w:r>
      <w:r>
        <w:rPr>
          <w:sz w:val="22"/>
        </w:rPr>
        <w:t>31.8.2016</w:t>
      </w:r>
    </w:p>
    <w:p>
      <w:pPr>
        <w:pStyle w:val="ListParagraph"/>
        <w:numPr>
          <w:ilvl w:val="0"/>
          <w:numId w:val="2"/>
        </w:numPr>
        <w:tabs>
          <w:tab w:pos="479" w:val="left" w:leader="none"/>
        </w:tabs>
        <w:spacing w:line="252" w:lineRule="exact" w:before="16" w:after="0"/>
        <w:ind w:left="478" w:right="113" w:hanging="360"/>
        <w:jc w:val="both"/>
        <w:rPr>
          <w:sz w:val="22"/>
        </w:rPr>
      </w:pPr>
      <w:r>
        <w:rPr>
          <w:sz w:val="22"/>
        </w:rPr>
        <w:t>Areál bývalej SOŠ automobilovej Jána Jonáša ,Devínska Nová Ves bol následne daný</w:t>
      </w:r>
      <w:r>
        <w:rPr>
          <w:spacing w:val="-36"/>
          <w:sz w:val="22"/>
        </w:rPr>
        <w:t> </w:t>
      </w:r>
      <w:r>
        <w:rPr>
          <w:sz w:val="22"/>
        </w:rPr>
        <w:t>do dlhodobého prenájmu Duálnej akadémii, z.z.p.o. od</w:t>
      </w:r>
      <w:r>
        <w:rPr>
          <w:spacing w:val="-20"/>
          <w:sz w:val="22"/>
        </w:rPr>
        <w:t> </w:t>
      </w:r>
      <w:r>
        <w:rPr>
          <w:sz w:val="22"/>
        </w:rPr>
        <w:t>1.9.2016</w:t>
      </w:r>
    </w:p>
    <w:p>
      <w:pPr>
        <w:pStyle w:val="ListParagraph"/>
        <w:numPr>
          <w:ilvl w:val="0"/>
          <w:numId w:val="2"/>
        </w:numPr>
        <w:tabs>
          <w:tab w:pos="478" w:val="left" w:leader="none"/>
          <w:tab w:pos="479" w:val="left" w:leader="none"/>
        </w:tabs>
        <w:spacing w:line="265" w:lineRule="exact" w:before="0" w:after="0"/>
        <w:ind w:left="478" w:right="0" w:hanging="360"/>
        <w:jc w:val="left"/>
        <w:rPr>
          <w:sz w:val="22"/>
        </w:rPr>
      </w:pPr>
      <w:r>
        <w:rPr>
          <w:sz w:val="22"/>
        </w:rPr>
        <w:t>Areál Račianska 78-80 bol daný do dlhodobého prenájmu OZ Cvernovka od</w:t>
      </w:r>
      <w:r>
        <w:rPr>
          <w:spacing w:val="-34"/>
          <w:sz w:val="22"/>
        </w:rPr>
        <w:t> </w:t>
      </w:r>
      <w:r>
        <w:rPr>
          <w:sz w:val="22"/>
        </w:rPr>
        <w:t>1.7.2016</w:t>
      </w:r>
    </w:p>
    <w:p>
      <w:pPr>
        <w:pStyle w:val="ListParagraph"/>
        <w:numPr>
          <w:ilvl w:val="0"/>
          <w:numId w:val="2"/>
        </w:numPr>
        <w:tabs>
          <w:tab w:pos="478" w:val="left" w:leader="none"/>
          <w:tab w:pos="479" w:val="left" w:leader="none"/>
        </w:tabs>
        <w:spacing w:line="268" w:lineRule="exact" w:before="0" w:after="0"/>
        <w:ind w:left="478" w:right="0" w:hanging="360"/>
        <w:jc w:val="left"/>
        <w:rPr>
          <w:sz w:val="22"/>
        </w:rPr>
      </w:pPr>
      <w:r>
        <w:rPr>
          <w:sz w:val="22"/>
        </w:rPr>
        <w:t>Na</w:t>
      </w:r>
      <w:r>
        <w:rPr>
          <w:spacing w:val="36"/>
          <w:sz w:val="22"/>
        </w:rPr>
        <w:t> </w:t>
      </w:r>
      <w:r>
        <w:rPr>
          <w:sz w:val="22"/>
        </w:rPr>
        <w:t>základe</w:t>
      </w:r>
      <w:r>
        <w:rPr>
          <w:spacing w:val="36"/>
          <w:sz w:val="22"/>
        </w:rPr>
        <w:t> </w:t>
      </w:r>
      <w:r>
        <w:rPr>
          <w:sz w:val="22"/>
        </w:rPr>
        <w:t>KZ</w:t>
      </w:r>
      <w:r>
        <w:rPr>
          <w:spacing w:val="36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prospech</w:t>
      </w:r>
      <w:r>
        <w:rPr>
          <w:spacing w:val="36"/>
          <w:sz w:val="22"/>
        </w:rPr>
        <w:t> </w:t>
      </w:r>
      <w:r>
        <w:rPr>
          <w:sz w:val="22"/>
        </w:rPr>
        <w:t>p.Trebišovskej</w:t>
      </w:r>
      <w:r>
        <w:rPr>
          <w:spacing w:val="38"/>
          <w:sz w:val="22"/>
        </w:rPr>
        <w:t> </w:t>
      </w:r>
      <w:r>
        <w:rPr>
          <w:sz w:val="22"/>
        </w:rPr>
        <w:t>bola</w:t>
      </w:r>
      <w:r>
        <w:rPr>
          <w:spacing w:val="33"/>
          <w:sz w:val="22"/>
        </w:rPr>
        <w:t> </w:t>
      </w:r>
      <w:r>
        <w:rPr>
          <w:sz w:val="22"/>
        </w:rPr>
        <w:t>30.12.2016</w:t>
      </w:r>
      <w:r>
        <w:rPr>
          <w:spacing w:val="36"/>
          <w:sz w:val="22"/>
        </w:rPr>
        <w:t> </w:t>
      </w:r>
      <w:r>
        <w:rPr>
          <w:sz w:val="22"/>
        </w:rPr>
        <w:t>odpredaná</w:t>
      </w:r>
      <w:r>
        <w:rPr>
          <w:spacing w:val="32"/>
          <w:sz w:val="22"/>
        </w:rPr>
        <w:t> </w:t>
      </w:r>
      <w:r>
        <w:rPr>
          <w:sz w:val="22"/>
        </w:rPr>
        <w:t>časť</w:t>
      </w:r>
      <w:r>
        <w:rPr>
          <w:spacing w:val="37"/>
          <w:sz w:val="22"/>
        </w:rPr>
        <w:t> </w:t>
      </w:r>
      <w:r>
        <w:rPr>
          <w:sz w:val="22"/>
        </w:rPr>
        <w:t>pozemkov</w:t>
      </w:r>
    </w:p>
    <w:p>
      <w:pPr>
        <w:pStyle w:val="BodyText"/>
        <w:spacing w:line="252" w:lineRule="exact"/>
        <w:ind w:right="3210"/>
        <w:jc w:val="center"/>
      </w:pPr>
      <w:r>
        <w:rPr/>
        <w:t>areálu Záhorská Bystrica (p.č.3253/75,130,132,133).</w:t>
      </w:r>
    </w:p>
    <w:p>
      <w:pPr>
        <w:pStyle w:val="ListParagraph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9" w:right="112" w:hanging="361"/>
        <w:jc w:val="both"/>
        <w:rPr>
          <w:sz w:val="22"/>
        </w:rPr>
      </w:pPr>
      <w:r>
        <w:rPr>
          <w:sz w:val="22"/>
        </w:rPr>
        <w:t>Uzatvorila sa KZ zo dňa 19.12.2016 v prospech UniCredit Leasing Slovakia , a. s. predaj pozemkov, k. územie Nové Mesto (p. č.</w:t>
      </w:r>
      <w:r>
        <w:rPr>
          <w:spacing w:val="-20"/>
          <w:sz w:val="22"/>
        </w:rPr>
        <w:t> </w:t>
      </w:r>
      <w:r>
        <w:rPr>
          <w:sz w:val="22"/>
        </w:rPr>
        <w:t>13657/127-129)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top="900" w:bottom="280" w:left="1300" w:right="1300"/>
        </w:sectPr>
      </w:pPr>
    </w:p>
    <w:p>
      <w:pPr>
        <w:pStyle w:val="ListParagraph"/>
        <w:numPr>
          <w:ilvl w:val="0"/>
          <w:numId w:val="2"/>
        </w:numPr>
        <w:tabs>
          <w:tab w:pos="477" w:val="left" w:leader="none"/>
        </w:tabs>
        <w:spacing w:line="240" w:lineRule="auto" w:before="72" w:after="0"/>
        <w:ind w:left="475" w:right="475" w:hanging="359"/>
        <w:jc w:val="both"/>
        <w:rPr>
          <w:sz w:val="22"/>
        </w:rPr>
      </w:pPr>
      <w:r>
        <w:rPr>
          <w:sz w:val="22"/>
        </w:rPr>
        <w:t>Oddelenie správy majetku BSK zverilo v priebehu roka 2016 do správy Malokarpatského múzea v Pezinku objekty Synagógy v Senci a kaštieľa v Malinove za účelom realizácie rekonštrukcie týchto</w:t>
      </w:r>
      <w:r>
        <w:rPr>
          <w:spacing w:val="-11"/>
          <w:sz w:val="22"/>
        </w:rPr>
        <w:t> </w:t>
      </w:r>
      <w:r>
        <w:rPr>
          <w:sz w:val="22"/>
        </w:rPr>
        <w:t>objektov.</w:t>
      </w:r>
    </w:p>
    <w:p>
      <w:pPr>
        <w:pStyle w:val="ListParagraph"/>
        <w:numPr>
          <w:ilvl w:val="0"/>
          <w:numId w:val="2"/>
        </w:numPr>
        <w:tabs>
          <w:tab w:pos="477" w:val="left" w:leader="none"/>
        </w:tabs>
        <w:spacing w:line="240" w:lineRule="auto" w:before="0" w:after="0"/>
        <w:ind w:left="476" w:right="476" w:hanging="360"/>
        <w:jc w:val="both"/>
        <w:rPr>
          <w:sz w:val="22"/>
        </w:rPr>
      </w:pPr>
      <w:r>
        <w:rPr>
          <w:sz w:val="22"/>
        </w:rPr>
        <w:t>Od  1.1.2017 bol uzatvorený dlhodobý prenájom  dielní v areáli Stará Vajnorská cesta     v prospech spoločnosti SOMO, s.r.o na dobu</w:t>
      </w:r>
      <w:r>
        <w:rPr>
          <w:spacing w:val="-16"/>
          <w:sz w:val="22"/>
        </w:rPr>
        <w:t> </w:t>
      </w:r>
      <w:r>
        <w:rPr>
          <w:sz w:val="22"/>
        </w:rPr>
        <w:t>neurčitú</w:t>
      </w:r>
    </w:p>
    <w:p>
      <w:pPr>
        <w:pStyle w:val="ListParagraph"/>
        <w:numPr>
          <w:ilvl w:val="0"/>
          <w:numId w:val="2"/>
        </w:numPr>
        <w:tabs>
          <w:tab w:pos="477" w:val="left" w:leader="none"/>
        </w:tabs>
        <w:spacing w:line="240" w:lineRule="auto" w:before="0" w:after="0"/>
        <w:ind w:left="476" w:right="472" w:hanging="360"/>
        <w:jc w:val="both"/>
        <w:rPr>
          <w:sz w:val="22"/>
        </w:rPr>
      </w:pPr>
      <w:r>
        <w:rPr>
          <w:sz w:val="22"/>
        </w:rPr>
        <w:t>Z areálu budovy pre školstvo, vzdelávanie a výskum Pezinok bola na par.č.3675/15 vyhlásená verejná obchodná súťaž na</w:t>
      </w:r>
      <w:r>
        <w:rPr>
          <w:spacing w:val="-18"/>
          <w:sz w:val="22"/>
        </w:rPr>
        <w:t> </w:t>
      </w:r>
      <w:r>
        <w:rPr>
          <w:sz w:val="22"/>
        </w:rPr>
        <w:t>predaj.</w:t>
      </w:r>
    </w:p>
    <w:p>
      <w:pPr>
        <w:pStyle w:val="ListParagraph"/>
        <w:numPr>
          <w:ilvl w:val="0"/>
          <w:numId w:val="2"/>
        </w:numPr>
        <w:tabs>
          <w:tab w:pos="477" w:val="left" w:leader="none"/>
        </w:tabs>
        <w:spacing w:line="240" w:lineRule="auto" w:before="0" w:after="0"/>
        <w:ind w:left="476" w:right="473" w:hanging="360"/>
        <w:jc w:val="both"/>
        <w:rPr>
          <w:sz w:val="22"/>
        </w:rPr>
      </w:pPr>
      <w:r>
        <w:rPr>
          <w:sz w:val="22"/>
        </w:rPr>
        <w:t>Na základe schváleného uznesenia Zastupiteľstva BSK č.100/2016 zo dňa 21.10.2016</w:t>
      </w:r>
      <w:r>
        <w:rPr>
          <w:spacing w:val="-37"/>
          <w:sz w:val="22"/>
        </w:rPr>
        <w:t> </w:t>
      </w:r>
      <w:r>
        <w:rPr>
          <w:sz w:val="22"/>
        </w:rPr>
        <w:t>sa začal</w:t>
      </w:r>
      <w:r>
        <w:rPr>
          <w:spacing w:val="-10"/>
          <w:sz w:val="22"/>
        </w:rPr>
        <w:t> </w:t>
      </w:r>
      <w:r>
        <w:rPr>
          <w:sz w:val="22"/>
        </w:rPr>
        <w:t>pripravovať</w:t>
      </w:r>
      <w:r>
        <w:rPr>
          <w:spacing w:val="-8"/>
          <w:sz w:val="22"/>
        </w:rPr>
        <w:t> </w:t>
      </w:r>
      <w:r>
        <w:rPr>
          <w:sz w:val="22"/>
        </w:rPr>
        <w:t>proces</w:t>
      </w:r>
      <w:r>
        <w:rPr>
          <w:spacing w:val="-11"/>
          <w:sz w:val="22"/>
        </w:rPr>
        <w:t> </w:t>
      </w:r>
      <w:r>
        <w:rPr>
          <w:sz w:val="22"/>
        </w:rPr>
        <w:t>zmeny</w:t>
      </w:r>
      <w:r>
        <w:rPr>
          <w:spacing w:val="-9"/>
          <w:sz w:val="22"/>
        </w:rPr>
        <w:t> </w:t>
      </w:r>
      <w:r>
        <w:rPr>
          <w:sz w:val="22"/>
        </w:rPr>
        <w:t>v</w:t>
      </w:r>
      <w:r>
        <w:rPr>
          <w:spacing w:val="-4"/>
          <w:sz w:val="22"/>
        </w:rPr>
        <w:t> </w:t>
      </w:r>
      <w:r>
        <w:rPr>
          <w:sz w:val="22"/>
        </w:rPr>
        <w:t>sieti</w:t>
      </w:r>
      <w:r>
        <w:rPr>
          <w:spacing w:val="-11"/>
          <w:sz w:val="22"/>
        </w:rPr>
        <w:t> </w:t>
      </w:r>
      <w:r>
        <w:rPr>
          <w:sz w:val="22"/>
        </w:rPr>
        <w:t>škôl</w:t>
      </w:r>
      <w:r>
        <w:rPr>
          <w:spacing w:val="-11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školských</w:t>
      </w:r>
      <w:r>
        <w:rPr>
          <w:spacing w:val="-10"/>
          <w:sz w:val="22"/>
        </w:rPr>
        <w:t> </w:t>
      </w:r>
      <w:r>
        <w:rPr>
          <w:sz w:val="22"/>
        </w:rPr>
        <w:t>zariadení,</w:t>
      </w:r>
      <w:r>
        <w:rPr>
          <w:spacing w:val="-8"/>
          <w:sz w:val="22"/>
        </w:rPr>
        <w:t> </w:t>
      </w:r>
      <w:r>
        <w:rPr>
          <w:sz w:val="22"/>
        </w:rPr>
        <w:t>ktoré</w:t>
      </w:r>
      <w:r>
        <w:rPr>
          <w:spacing w:val="-10"/>
          <w:sz w:val="22"/>
        </w:rPr>
        <w:t> </w:t>
      </w:r>
      <w:r>
        <w:rPr>
          <w:sz w:val="22"/>
        </w:rPr>
        <w:t>spočívali</w:t>
      </w:r>
      <w:r>
        <w:rPr>
          <w:spacing w:val="-10"/>
          <w:sz w:val="22"/>
        </w:rPr>
        <w:t> </w:t>
      </w:r>
      <w:r>
        <w:rPr>
          <w:sz w:val="22"/>
        </w:rPr>
        <w:t>v</w:t>
      </w:r>
      <w:r>
        <w:rPr>
          <w:spacing w:val="-1"/>
          <w:sz w:val="22"/>
        </w:rPr>
        <w:t> </w:t>
      </w:r>
      <w:r>
        <w:rPr>
          <w:sz w:val="22"/>
        </w:rPr>
        <w:t>zmene sídla</w:t>
      </w:r>
      <w:r>
        <w:rPr>
          <w:spacing w:val="-14"/>
          <w:sz w:val="22"/>
        </w:rPr>
        <w:t> </w:t>
      </w:r>
      <w:r>
        <w:rPr>
          <w:sz w:val="22"/>
        </w:rPr>
        <w:t>SOŠ</w:t>
      </w:r>
      <w:r>
        <w:rPr>
          <w:spacing w:val="-14"/>
          <w:sz w:val="22"/>
        </w:rPr>
        <w:t> </w:t>
      </w:r>
      <w:r>
        <w:rPr>
          <w:sz w:val="22"/>
        </w:rPr>
        <w:t>dopravnej</w:t>
      </w:r>
      <w:r>
        <w:rPr>
          <w:spacing w:val="-12"/>
          <w:sz w:val="22"/>
        </w:rPr>
        <w:t> </w:t>
      </w:r>
      <w:r>
        <w:rPr>
          <w:sz w:val="22"/>
        </w:rPr>
        <w:t>Sklenárova</w:t>
      </w:r>
      <w:r>
        <w:rPr>
          <w:spacing w:val="-14"/>
          <w:sz w:val="22"/>
        </w:rPr>
        <w:t> </w:t>
      </w:r>
      <w:r>
        <w:rPr>
          <w:sz w:val="22"/>
        </w:rPr>
        <w:t>9</w:t>
      </w:r>
      <w:r>
        <w:rPr>
          <w:spacing w:val="-14"/>
          <w:sz w:val="22"/>
        </w:rPr>
        <w:t> </w:t>
      </w:r>
      <w:r>
        <w:rPr>
          <w:sz w:val="22"/>
        </w:rPr>
        <w:t>na</w:t>
      </w:r>
      <w:r>
        <w:rPr>
          <w:spacing w:val="-14"/>
          <w:sz w:val="22"/>
        </w:rPr>
        <w:t> </w:t>
      </w:r>
      <w:r>
        <w:rPr>
          <w:sz w:val="22"/>
        </w:rPr>
        <w:t>Kvačalovu</w:t>
      </w:r>
      <w:r>
        <w:rPr>
          <w:spacing w:val="-11"/>
          <w:sz w:val="22"/>
        </w:rPr>
        <w:t> </w:t>
      </w:r>
      <w:r>
        <w:rPr>
          <w:sz w:val="22"/>
        </w:rPr>
        <w:t>20</w:t>
      </w:r>
      <w:r>
        <w:rPr>
          <w:spacing w:val="-14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sídlo</w:t>
      </w:r>
      <w:r>
        <w:rPr>
          <w:spacing w:val="-14"/>
          <w:sz w:val="22"/>
        </w:rPr>
        <w:t> </w:t>
      </w:r>
      <w:r>
        <w:rPr>
          <w:sz w:val="22"/>
        </w:rPr>
        <w:t>SOŠ</w:t>
      </w:r>
      <w:r>
        <w:rPr>
          <w:spacing w:val="-14"/>
          <w:sz w:val="22"/>
        </w:rPr>
        <w:t> </w:t>
      </w:r>
      <w:r>
        <w:rPr>
          <w:sz w:val="22"/>
        </w:rPr>
        <w:t>Komenského</w:t>
      </w:r>
      <w:r>
        <w:rPr>
          <w:spacing w:val="-14"/>
          <w:sz w:val="22"/>
        </w:rPr>
        <w:t> </w:t>
      </w:r>
      <w:r>
        <w:rPr>
          <w:sz w:val="22"/>
        </w:rPr>
        <w:t>27,</w:t>
      </w:r>
      <w:r>
        <w:rPr>
          <w:spacing w:val="-12"/>
          <w:sz w:val="22"/>
        </w:rPr>
        <w:t> </w:t>
      </w:r>
      <w:r>
        <w:rPr>
          <w:sz w:val="22"/>
        </w:rPr>
        <w:t>Pezinok na Myslenickú 1 Pezinok k</w:t>
      </w:r>
      <w:r>
        <w:rPr>
          <w:spacing w:val="-10"/>
          <w:sz w:val="22"/>
        </w:rPr>
        <w:t> </w:t>
      </w:r>
      <w:r>
        <w:rPr>
          <w:sz w:val="22"/>
        </w:rPr>
        <w:t>31.8.2017</w:t>
      </w:r>
    </w:p>
    <w:p>
      <w:pPr>
        <w:pStyle w:val="ListParagraph"/>
        <w:numPr>
          <w:ilvl w:val="0"/>
          <w:numId w:val="2"/>
        </w:numPr>
        <w:tabs>
          <w:tab w:pos="477" w:val="left" w:leader="none"/>
        </w:tabs>
        <w:spacing w:line="240" w:lineRule="auto" w:before="0" w:after="0"/>
        <w:ind w:left="476" w:right="472" w:hanging="360"/>
        <w:jc w:val="both"/>
        <w:rPr>
          <w:sz w:val="22"/>
        </w:rPr>
      </w:pPr>
      <w:r>
        <w:rPr>
          <w:sz w:val="22"/>
        </w:rPr>
        <w:t>Zároveň</w:t>
      </w:r>
      <w:r>
        <w:rPr>
          <w:spacing w:val="-10"/>
          <w:sz w:val="22"/>
        </w:rPr>
        <w:t> </w:t>
      </w:r>
      <w:r>
        <w:rPr>
          <w:sz w:val="22"/>
        </w:rPr>
        <w:t>Úrad</w:t>
      </w:r>
      <w:r>
        <w:rPr>
          <w:spacing w:val="-10"/>
          <w:sz w:val="22"/>
        </w:rPr>
        <w:t> </w:t>
      </w:r>
      <w:r>
        <w:rPr>
          <w:sz w:val="22"/>
        </w:rPr>
        <w:t>BSK</w:t>
      </w:r>
      <w:r>
        <w:rPr>
          <w:spacing w:val="-10"/>
          <w:sz w:val="22"/>
        </w:rPr>
        <w:t> </w:t>
      </w:r>
      <w:r>
        <w:rPr>
          <w:sz w:val="22"/>
        </w:rPr>
        <w:t>pripravoval</w:t>
      </w:r>
      <w:r>
        <w:rPr>
          <w:spacing w:val="-10"/>
          <w:sz w:val="22"/>
        </w:rPr>
        <w:t> </w:t>
      </w:r>
      <w:r>
        <w:rPr>
          <w:sz w:val="22"/>
        </w:rPr>
        <w:t>realizáciu</w:t>
      </w:r>
      <w:r>
        <w:rPr>
          <w:spacing w:val="-10"/>
          <w:sz w:val="22"/>
        </w:rPr>
        <w:t> </w:t>
      </w:r>
      <w:r>
        <w:rPr>
          <w:sz w:val="22"/>
        </w:rPr>
        <w:t>zmien</w:t>
      </w:r>
      <w:r>
        <w:rPr>
          <w:spacing w:val="-10"/>
          <w:sz w:val="22"/>
        </w:rPr>
        <w:t> </w:t>
      </w:r>
      <w:r>
        <w:rPr>
          <w:sz w:val="22"/>
        </w:rPr>
        <w:t>súvisiacich</w:t>
      </w:r>
      <w:r>
        <w:rPr>
          <w:spacing w:val="-10"/>
          <w:sz w:val="22"/>
        </w:rPr>
        <w:t> </w:t>
      </w:r>
      <w:r>
        <w:rPr>
          <w:sz w:val="22"/>
        </w:rPr>
        <w:t>so</w:t>
      </w:r>
      <w:r>
        <w:rPr>
          <w:spacing w:val="-10"/>
          <w:sz w:val="22"/>
        </w:rPr>
        <w:t> </w:t>
      </w:r>
      <w:r>
        <w:rPr>
          <w:sz w:val="22"/>
        </w:rPr>
        <w:t>správou</w:t>
      </w:r>
      <w:r>
        <w:rPr>
          <w:spacing w:val="-10"/>
          <w:sz w:val="22"/>
        </w:rPr>
        <w:t> </w:t>
      </w:r>
      <w:r>
        <w:rPr>
          <w:sz w:val="22"/>
        </w:rPr>
        <w:t>majetku</w:t>
      </w:r>
      <w:r>
        <w:rPr>
          <w:spacing w:val="-10"/>
          <w:sz w:val="22"/>
        </w:rPr>
        <w:t> </w:t>
      </w:r>
      <w:r>
        <w:rPr>
          <w:sz w:val="22"/>
        </w:rPr>
        <w:t>vybraných škôl</w:t>
      </w:r>
      <w:r>
        <w:rPr>
          <w:spacing w:val="-12"/>
          <w:sz w:val="22"/>
        </w:rPr>
        <w:t> </w:t>
      </w:r>
      <w:r>
        <w:rPr>
          <w:sz w:val="22"/>
        </w:rPr>
        <w:t>–</w:t>
      </w:r>
      <w:r>
        <w:rPr>
          <w:spacing w:val="-9"/>
          <w:sz w:val="22"/>
        </w:rPr>
        <w:t> </w:t>
      </w:r>
      <w:r>
        <w:rPr>
          <w:sz w:val="22"/>
        </w:rPr>
        <w:t>prechod</w:t>
      </w:r>
      <w:r>
        <w:rPr>
          <w:spacing w:val="-11"/>
          <w:sz w:val="22"/>
        </w:rPr>
        <w:t> </w:t>
      </w:r>
      <w:r>
        <w:rPr>
          <w:sz w:val="22"/>
        </w:rPr>
        <w:t>správy</w:t>
      </w:r>
      <w:r>
        <w:rPr>
          <w:spacing w:val="-11"/>
          <w:sz w:val="22"/>
        </w:rPr>
        <w:t> </w:t>
      </w:r>
      <w:r>
        <w:rPr>
          <w:sz w:val="22"/>
        </w:rPr>
        <w:t>niektorých</w:t>
      </w:r>
      <w:r>
        <w:rPr>
          <w:spacing w:val="-9"/>
          <w:sz w:val="22"/>
        </w:rPr>
        <w:t> </w:t>
      </w:r>
      <w:r>
        <w:rPr>
          <w:sz w:val="22"/>
        </w:rPr>
        <w:t>objektov</w:t>
      </w:r>
      <w:r>
        <w:rPr>
          <w:spacing w:val="-11"/>
          <w:sz w:val="22"/>
        </w:rPr>
        <w:t> </w:t>
      </w:r>
      <w:r>
        <w:rPr>
          <w:sz w:val="22"/>
        </w:rPr>
        <w:t>SOŠ</w:t>
      </w:r>
      <w:r>
        <w:rPr>
          <w:spacing w:val="-12"/>
          <w:sz w:val="22"/>
        </w:rPr>
        <w:t> </w:t>
      </w:r>
      <w:r>
        <w:rPr>
          <w:sz w:val="22"/>
        </w:rPr>
        <w:t>technickej,</w:t>
      </w:r>
      <w:r>
        <w:rPr>
          <w:spacing w:val="-10"/>
          <w:sz w:val="22"/>
        </w:rPr>
        <w:t> </w:t>
      </w:r>
      <w:r>
        <w:rPr>
          <w:sz w:val="22"/>
        </w:rPr>
        <w:t>Vranovská</w:t>
      </w:r>
      <w:r>
        <w:rPr>
          <w:spacing w:val="-9"/>
          <w:sz w:val="22"/>
        </w:rPr>
        <w:t> </w:t>
      </w:r>
      <w:r>
        <w:rPr>
          <w:sz w:val="22"/>
        </w:rPr>
        <w:t>4,</w:t>
      </w:r>
      <w:r>
        <w:rPr>
          <w:spacing w:val="-10"/>
          <w:sz w:val="22"/>
        </w:rPr>
        <w:t> </w:t>
      </w:r>
      <w:r>
        <w:rPr>
          <w:sz w:val="22"/>
        </w:rPr>
        <w:t>Bratislava</w:t>
      </w:r>
      <w:r>
        <w:rPr>
          <w:spacing w:val="-9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SOŠ elektrotechnickej, Rybničná 29, Bratislava na Úrad BSK k</w:t>
      </w:r>
      <w:r>
        <w:rPr>
          <w:spacing w:val="-21"/>
          <w:sz w:val="22"/>
        </w:rPr>
        <w:t> </w:t>
      </w:r>
      <w:r>
        <w:rPr>
          <w:sz w:val="22"/>
        </w:rPr>
        <w:t>1.4.2017</w:t>
      </w:r>
    </w:p>
    <w:p>
      <w:pPr>
        <w:pStyle w:val="ListParagraph"/>
        <w:numPr>
          <w:ilvl w:val="0"/>
          <w:numId w:val="2"/>
        </w:numPr>
        <w:tabs>
          <w:tab w:pos="476" w:val="left" w:leader="none"/>
          <w:tab w:pos="477" w:val="left" w:leader="none"/>
        </w:tabs>
        <w:spacing w:line="268" w:lineRule="exact" w:before="0" w:after="0"/>
        <w:ind w:left="477" w:right="0" w:hanging="361"/>
        <w:jc w:val="left"/>
        <w:rPr>
          <w:sz w:val="22"/>
        </w:rPr>
      </w:pPr>
      <w:r>
        <w:rPr>
          <w:sz w:val="22"/>
        </w:rPr>
        <w:t>Na objekt na Krásnohorskej ulici v Petržalke  – prebieha súťaž na dlhodobý</w:t>
      </w:r>
      <w:r>
        <w:rPr>
          <w:spacing w:val="-36"/>
          <w:sz w:val="22"/>
        </w:rPr>
        <w:t> </w:t>
      </w:r>
      <w:r>
        <w:rPr>
          <w:sz w:val="22"/>
        </w:rPr>
        <w:t>prenájom</w:t>
      </w:r>
    </w:p>
    <w:p>
      <w:pPr>
        <w:pStyle w:val="ListParagraph"/>
        <w:numPr>
          <w:ilvl w:val="0"/>
          <w:numId w:val="2"/>
        </w:numPr>
        <w:tabs>
          <w:tab w:pos="477" w:val="left" w:leader="none"/>
          <w:tab w:pos="478" w:val="left" w:leader="none"/>
        </w:tabs>
        <w:spacing w:line="269" w:lineRule="exact" w:before="0" w:after="0"/>
        <w:ind w:left="477" w:right="0" w:hanging="360"/>
        <w:jc w:val="left"/>
        <w:rPr>
          <w:sz w:val="22"/>
        </w:rPr>
      </w:pPr>
      <w:r>
        <w:rPr>
          <w:sz w:val="22"/>
        </w:rPr>
        <w:t>Na  nehnuteľnosť  v katastrálnom  území BA-  Petržalka,   Znievska č.4,  súp.č.3235</w:t>
      </w:r>
      <w:r>
        <w:rPr>
          <w:spacing w:val="27"/>
          <w:sz w:val="22"/>
        </w:rPr>
        <w:t> </w:t>
      </w:r>
      <w:r>
        <w:rPr>
          <w:sz w:val="22"/>
        </w:rPr>
        <w:t>bola</w:t>
      </w:r>
    </w:p>
    <w:p>
      <w:pPr>
        <w:pStyle w:val="BodyText"/>
        <w:spacing w:line="252" w:lineRule="exact"/>
        <w:ind w:left="477"/>
        <w:jc w:val="both"/>
      </w:pPr>
      <w:r>
        <w:rPr/>
        <w:t>vyhlásená OVS na predaj</w:t>
      </w:r>
    </w:p>
    <w:p>
      <w:pPr>
        <w:pStyle w:val="ListParagraph"/>
        <w:numPr>
          <w:ilvl w:val="0"/>
          <w:numId w:val="2"/>
        </w:numPr>
        <w:tabs>
          <w:tab w:pos="477" w:val="left" w:leader="none"/>
          <w:tab w:pos="478" w:val="left" w:leader="none"/>
        </w:tabs>
        <w:spacing w:line="268" w:lineRule="exact" w:before="0" w:after="0"/>
        <w:ind w:left="477" w:right="0" w:hanging="360"/>
        <w:jc w:val="left"/>
        <w:rPr>
          <w:sz w:val="22"/>
        </w:rPr>
      </w:pPr>
      <w:r>
        <w:rPr>
          <w:sz w:val="22"/>
        </w:rPr>
        <w:t>Zámennou zmluvou s Mestom Stupava došlo ku zámene pozemku v k. území</w:t>
      </w:r>
      <w:r>
        <w:rPr>
          <w:spacing w:val="-34"/>
          <w:sz w:val="22"/>
        </w:rPr>
        <w:t> </w:t>
      </w:r>
      <w:r>
        <w:rPr>
          <w:sz w:val="22"/>
        </w:rPr>
        <w:t>Stupava</w:t>
      </w:r>
    </w:p>
    <w:p>
      <w:pPr>
        <w:pStyle w:val="ListParagraph"/>
        <w:numPr>
          <w:ilvl w:val="0"/>
          <w:numId w:val="2"/>
        </w:numPr>
        <w:tabs>
          <w:tab w:pos="479" w:val="left" w:leader="none"/>
        </w:tabs>
        <w:spacing w:line="252" w:lineRule="exact" w:before="18" w:after="0"/>
        <w:ind w:left="478" w:right="471" w:hanging="360"/>
        <w:jc w:val="both"/>
        <w:rPr>
          <w:sz w:val="22"/>
        </w:rPr>
      </w:pPr>
      <w:r>
        <w:rPr>
          <w:sz w:val="22"/>
        </w:rPr>
        <w:t>Zámennou</w:t>
      </w:r>
      <w:r>
        <w:rPr>
          <w:spacing w:val="-10"/>
          <w:sz w:val="22"/>
        </w:rPr>
        <w:t> </w:t>
      </w:r>
      <w:r>
        <w:rPr>
          <w:sz w:val="22"/>
        </w:rPr>
        <w:t>zmluvou</w:t>
      </w:r>
      <w:r>
        <w:rPr>
          <w:spacing w:val="-10"/>
          <w:sz w:val="22"/>
        </w:rPr>
        <w:t> </w:t>
      </w:r>
      <w:r>
        <w:rPr>
          <w:sz w:val="22"/>
        </w:rPr>
        <w:t>so</w:t>
      </w:r>
      <w:r>
        <w:rPr>
          <w:spacing w:val="-12"/>
          <w:sz w:val="22"/>
        </w:rPr>
        <w:t> </w:t>
      </w:r>
      <w:r>
        <w:rPr>
          <w:sz w:val="22"/>
        </w:rPr>
        <w:t>spoločnosťou</w:t>
      </w:r>
      <w:r>
        <w:rPr>
          <w:spacing w:val="-12"/>
          <w:sz w:val="22"/>
        </w:rPr>
        <w:t> </w:t>
      </w:r>
      <w:r>
        <w:rPr>
          <w:sz w:val="22"/>
        </w:rPr>
        <w:t>TT</w:t>
      </w:r>
      <w:r>
        <w:rPr>
          <w:spacing w:val="-10"/>
          <w:sz w:val="22"/>
        </w:rPr>
        <w:t> </w:t>
      </w:r>
      <w:r>
        <w:rPr>
          <w:sz w:val="22"/>
        </w:rPr>
        <w:t>REAL</w:t>
      </w:r>
      <w:r>
        <w:rPr>
          <w:spacing w:val="-10"/>
          <w:sz w:val="22"/>
        </w:rPr>
        <w:t> </w:t>
      </w:r>
      <w:r>
        <w:rPr>
          <w:sz w:val="22"/>
        </w:rPr>
        <w:t>došlo</w:t>
      </w:r>
      <w:r>
        <w:rPr>
          <w:spacing w:val="-12"/>
          <w:sz w:val="22"/>
        </w:rPr>
        <w:t> </w:t>
      </w:r>
      <w:r>
        <w:rPr>
          <w:sz w:val="22"/>
        </w:rPr>
        <w:t>ku</w:t>
      </w:r>
      <w:r>
        <w:rPr>
          <w:spacing w:val="-10"/>
          <w:sz w:val="22"/>
        </w:rPr>
        <w:t> </w:t>
      </w:r>
      <w:r>
        <w:rPr>
          <w:sz w:val="22"/>
        </w:rPr>
        <w:t>zámene</w:t>
      </w:r>
      <w:r>
        <w:rPr>
          <w:spacing w:val="-12"/>
          <w:sz w:val="22"/>
        </w:rPr>
        <w:t> </w:t>
      </w:r>
      <w:r>
        <w:rPr>
          <w:sz w:val="22"/>
        </w:rPr>
        <w:t>pozemkov</w:t>
      </w:r>
      <w:r>
        <w:rPr>
          <w:spacing w:val="-12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katastrálnou území</w:t>
      </w:r>
      <w:r>
        <w:rPr>
          <w:spacing w:val="-7"/>
          <w:sz w:val="22"/>
        </w:rPr>
        <w:t> </w:t>
      </w:r>
      <w:r>
        <w:rPr>
          <w:sz w:val="22"/>
        </w:rPr>
        <w:t>BA-Trnávka.</w:t>
      </w:r>
    </w:p>
    <w:p>
      <w:pPr>
        <w:pStyle w:val="BodyText"/>
        <w:spacing w:before="7"/>
        <w:rPr>
          <w:sz w:val="21"/>
        </w:rPr>
      </w:pPr>
    </w:p>
    <w:p>
      <w:pPr>
        <w:pStyle w:val="BodyText"/>
        <w:ind w:left="478" w:right="471"/>
        <w:jc w:val="both"/>
      </w:pPr>
      <w:r>
        <w:rPr/>
        <w:t>Zmeny účtovnej hodnoty majetku v priebehu roka 2016 boli výsledkom realizácie technických</w:t>
      </w:r>
      <w:r>
        <w:rPr>
          <w:spacing w:val="-10"/>
        </w:rPr>
        <w:t> </w:t>
      </w:r>
      <w:r>
        <w:rPr/>
        <w:t>zhodnotení</w:t>
      </w:r>
      <w:r>
        <w:rPr>
          <w:spacing w:val="-13"/>
        </w:rPr>
        <w:t> </w:t>
      </w:r>
      <w:r>
        <w:rPr/>
        <w:t>–</w:t>
      </w:r>
      <w:r>
        <w:rPr>
          <w:spacing w:val="-9"/>
        </w:rPr>
        <w:t> </w:t>
      </w:r>
      <w:r>
        <w:rPr/>
        <w:t>rekonštrukcii,</w:t>
      </w:r>
      <w:r>
        <w:rPr>
          <w:spacing w:val="-11"/>
        </w:rPr>
        <w:t> </w:t>
      </w:r>
      <w:r>
        <w:rPr/>
        <w:t>či</w:t>
      </w:r>
      <w:r>
        <w:rPr>
          <w:spacing w:val="-10"/>
        </w:rPr>
        <w:t> </w:t>
      </w:r>
      <w:r>
        <w:rPr/>
        <w:t>modernizácii</w:t>
      </w:r>
      <w:r>
        <w:rPr>
          <w:spacing w:val="-10"/>
        </w:rPr>
        <w:t> </w:t>
      </w:r>
      <w:r>
        <w:rPr/>
        <w:t>ako</w:t>
      </w:r>
      <w:r>
        <w:rPr>
          <w:spacing w:val="-12"/>
        </w:rPr>
        <w:t> </w:t>
      </w:r>
      <w:r>
        <w:rPr/>
        <w:t>i</w:t>
      </w:r>
      <w:r>
        <w:rPr>
          <w:spacing w:val="-3"/>
        </w:rPr>
        <w:t> </w:t>
      </w:r>
      <w:r>
        <w:rPr/>
        <w:t>v</w:t>
      </w:r>
      <w:r>
        <w:rPr>
          <w:spacing w:val="-5"/>
        </w:rPr>
        <w:t> </w:t>
      </w:r>
      <w:r>
        <w:rPr/>
        <w:t>dôsledku</w:t>
      </w:r>
      <w:r>
        <w:rPr>
          <w:spacing w:val="-10"/>
        </w:rPr>
        <w:t> </w:t>
      </w:r>
      <w:r>
        <w:rPr/>
        <w:t>prevzatia</w:t>
      </w:r>
      <w:r>
        <w:rPr>
          <w:spacing w:val="-10"/>
        </w:rPr>
        <w:t> </w:t>
      </w:r>
      <w:r>
        <w:rPr/>
        <w:t>majetku do správy Úradu</w:t>
      </w:r>
      <w:r>
        <w:rPr>
          <w:spacing w:val="-6"/>
        </w:rPr>
        <w:t> </w:t>
      </w:r>
      <w:r>
        <w:rPr/>
        <w:t>BSK.</w:t>
      </w:r>
    </w:p>
    <w:p>
      <w:pPr>
        <w:pStyle w:val="BodyText"/>
      </w:pPr>
    </w:p>
    <w:p>
      <w:pPr>
        <w:pStyle w:val="BodyText"/>
        <w:spacing w:line="252" w:lineRule="exact"/>
        <w:ind w:left="826"/>
      </w:pPr>
      <w:r>
        <w:rPr/>
        <w:t>Celková účtovná hodnota nehnuteľného majetku vedená v účtovníctve  Úradu     BSK</w:t>
      </w:r>
    </w:p>
    <w:p>
      <w:pPr>
        <w:pStyle w:val="BodyText"/>
        <w:spacing w:line="252" w:lineRule="exact"/>
        <w:ind w:left="118"/>
      </w:pPr>
      <w:r>
        <w:rPr/>
        <w:t>a zariadení v zriaďovateľskej pôsobnosti za roky 2014 až 2016 je :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68"/>
        <w:gridCol w:w="2258"/>
        <w:gridCol w:w="2242"/>
        <w:gridCol w:w="2304"/>
      </w:tblGrid>
      <w:tr>
        <w:trPr>
          <w:trHeight w:val="521" w:hRule="exact"/>
        </w:trPr>
        <w:tc>
          <w:tcPr>
            <w:tcW w:w="2568" w:type="dxa"/>
            <w:vMerge w:val="restart"/>
            <w:tcBorders>
              <w:top w:val="nil"/>
              <w:left w:val="nil"/>
            </w:tcBorders>
          </w:tcPr>
          <w:p>
            <w:pPr/>
          </w:p>
        </w:tc>
        <w:tc>
          <w:tcPr>
            <w:tcW w:w="6804" w:type="dxa"/>
            <w:gridSpan w:val="3"/>
          </w:tcPr>
          <w:p>
            <w:pPr>
              <w:pStyle w:val="TableParagraph"/>
              <w:spacing w:before="124"/>
              <w:ind w:left="336"/>
              <w:rPr>
                <w:b/>
                <w:sz w:val="22"/>
              </w:rPr>
            </w:pPr>
            <w:r>
              <w:rPr>
                <w:b/>
                <w:sz w:val="22"/>
              </w:rPr>
              <w:t>ÚČTOVNÁ HODNOTA NEHNUTEĽNÉHO MAJETKU (brutto)</w:t>
            </w:r>
          </w:p>
        </w:tc>
      </w:tr>
      <w:tr>
        <w:trPr>
          <w:trHeight w:val="372" w:hRule="exact"/>
        </w:trPr>
        <w:tc>
          <w:tcPr>
            <w:tcW w:w="2568" w:type="dxa"/>
            <w:vMerge/>
            <w:tcBorders>
              <w:left w:val="nil"/>
            </w:tcBorders>
          </w:tcPr>
          <w:p>
            <w:pPr/>
          </w:p>
        </w:tc>
        <w:tc>
          <w:tcPr>
            <w:tcW w:w="2258" w:type="dxa"/>
            <w:tcBorders>
              <w:bottom w:val="double" w:sz="6" w:space="0" w:color="000000"/>
            </w:tcBorders>
          </w:tcPr>
          <w:p>
            <w:pPr>
              <w:pStyle w:val="TableParagraph"/>
              <w:spacing w:before="48"/>
              <w:ind w:left="248" w:right="24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 31.12.2014</w:t>
            </w:r>
          </w:p>
        </w:tc>
        <w:tc>
          <w:tcPr>
            <w:tcW w:w="2242" w:type="dxa"/>
            <w:tcBorders>
              <w:bottom w:val="double" w:sz="6" w:space="0" w:color="000000"/>
            </w:tcBorders>
          </w:tcPr>
          <w:p>
            <w:pPr>
              <w:pStyle w:val="TableParagraph"/>
              <w:spacing w:before="48"/>
              <w:ind w:left="475"/>
              <w:rPr>
                <w:b/>
                <w:sz w:val="22"/>
              </w:rPr>
            </w:pPr>
            <w:r>
              <w:rPr>
                <w:b/>
                <w:sz w:val="22"/>
              </w:rPr>
              <w:t>k 31.12.2015</w:t>
            </w:r>
          </w:p>
        </w:tc>
        <w:tc>
          <w:tcPr>
            <w:tcW w:w="2304" w:type="dxa"/>
            <w:tcBorders>
              <w:bottom w:val="double" w:sz="6" w:space="0" w:color="000000"/>
            </w:tcBorders>
          </w:tcPr>
          <w:p>
            <w:pPr>
              <w:pStyle w:val="TableParagraph"/>
              <w:spacing w:before="48"/>
              <w:ind w:left="503"/>
              <w:rPr>
                <w:b/>
                <w:sz w:val="22"/>
              </w:rPr>
            </w:pPr>
            <w:r>
              <w:rPr>
                <w:b/>
                <w:sz w:val="22"/>
              </w:rPr>
              <w:t>k 31.12.2016</w:t>
            </w:r>
          </w:p>
        </w:tc>
      </w:tr>
      <w:tr>
        <w:trPr>
          <w:trHeight w:val="550" w:hRule="exact"/>
        </w:trPr>
        <w:tc>
          <w:tcPr>
            <w:tcW w:w="2568" w:type="dxa"/>
          </w:tcPr>
          <w:p>
            <w:pPr>
              <w:pStyle w:val="TableParagraph"/>
              <w:spacing w:line="252" w:lineRule="exact" w:before="31"/>
              <w:ind w:left="67"/>
              <w:rPr>
                <w:sz w:val="22"/>
              </w:rPr>
            </w:pPr>
            <w:r>
              <w:rPr>
                <w:sz w:val="22"/>
              </w:rPr>
              <w:t>budovy a stavby (účet</w:t>
            </w:r>
          </w:p>
          <w:p>
            <w:pPr>
              <w:pStyle w:val="TableParagraph"/>
              <w:spacing w:line="252" w:lineRule="exact"/>
              <w:ind w:left="67"/>
              <w:rPr>
                <w:sz w:val="22"/>
              </w:rPr>
            </w:pPr>
            <w:r>
              <w:rPr>
                <w:sz w:val="22"/>
              </w:rPr>
              <w:t>021)</w:t>
            </w:r>
          </w:p>
        </w:tc>
        <w:tc>
          <w:tcPr>
            <w:tcW w:w="2258" w:type="dxa"/>
            <w:tcBorders>
              <w:top w:val="double" w:sz="6" w:space="0" w:color="000000"/>
            </w:tcBorders>
          </w:tcPr>
          <w:p>
            <w:pPr>
              <w:pStyle w:val="TableParagraph"/>
              <w:spacing w:before="139"/>
              <w:ind w:left="248" w:right="248"/>
              <w:jc w:val="center"/>
              <w:rPr>
                <w:sz w:val="22"/>
              </w:rPr>
            </w:pPr>
            <w:r>
              <w:rPr>
                <w:sz w:val="22"/>
              </w:rPr>
              <w:t>229 913 346,26 €</w:t>
            </w:r>
          </w:p>
        </w:tc>
        <w:tc>
          <w:tcPr>
            <w:tcW w:w="2242" w:type="dxa"/>
            <w:tcBorders>
              <w:top w:val="double" w:sz="6" w:space="0" w:color="000000"/>
            </w:tcBorders>
          </w:tcPr>
          <w:p>
            <w:pPr>
              <w:pStyle w:val="TableParagraph"/>
              <w:spacing w:before="139"/>
              <w:ind w:left="259"/>
              <w:rPr>
                <w:sz w:val="22"/>
              </w:rPr>
            </w:pPr>
            <w:r>
              <w:rPr>
                <w:sz w:val="22"/>
              </w:rPr>
              <w:t>235.582.504,29 €</w:t>
            </w:r>
          </w:p>
        </w:tc>
        <w:tc>
          <w:tcPr>
            <w:tcW w:w="2304" w:type="dxa"/>
            <w:tcBorders>
              <w:top w:val="double" w:sz="6" w:space="0" w:color="000000"/>
            </w:tcBorders>
          </w:tcPr>
          <w:p>
            <w:pPr>
              <w:pStyle w:val="TableParagraph"/>
              <w:spacing w:before="139"/>
              <w:ind w:left="64"/>
              <w:rPr>
                <w:sz w:val="22"/>
              </w:rPr>
            </w:pPr>
            <w:r>
              <w:rPr>
                <w:sz w:val="22"/>
              </w:rPr>
              <w:t>240 377 892,51 €</w:t>
            </w:r>
          </w:p>
        </w:tc>
      </w:tr>
      <w:tr>
        <w:trPr>
          <w:trHeight w:val="458" w:hRule="exact"/>
        </w:trPr>
        <w:tc>
          <w:tcPr>
            <w:tcW w:w="2568" w:type="dxa"/>
          </w:tcPr>
          <w:p>
            <w:pPr>
              <w:pStyle w:val="TableParagraph"/>
              <w:spacing w:before="96"/>
              <w:ind w:left="67"/>
              <w:rPr>
                <w:sz w:val="22"/>
              </w:rPr>
            </w:pPr>
            <w:r>
              <w:rPr>
                <w:sz w:val="22"/>
              </w:rPr>
              <w:t>pozemky (účet031)</w:t>
            </w:r>
          </w:p>
        </w:tc>
        <w:tc>
          <w:tcPr>
            <w:tcW w:w="2258" w:type="dxa"/>
          </w:tcPr>
          <w:p>
            <w:pPr>
              <w:pStyle w:val="TableParagraph"/>
              <w:spacing w:before="96"/>
              <w:ind w:left="248" w:right="246"/>
              <w:jc w:val="center"/>
              <w:rPr>
                <w:sz w:val="22"/>
              </w:rPr>
            </w:pPr>
            <w:r>
              <w:rPr>
                <w:sz w:val="22"/>
              </w:rPr>
              <w:t>80 921 682,48 €</w:t>
            </w:r>
          </w:p>
        </w:tc>
        <w:tc>
          <w:tcPr>
            <w:tcW w:w="2242" w:type="dxa"/>
          </w:tcPr>
          <w:p>
            <w:pPr>
              <w:pStyle w:val="TableParagraph"/>
              <w:spacing w:before="96"/>
              <w:ind w:left="559"/>
              <w:rPr>
                <w:sz w:val="22"/>
              </w:rPr>
            </w:pPr>
            <w:r>
              <w:rPr>
                <w:sz w:val="22"/>
              </w:rPr>
              <w:t>80 938 454,28 €</w:t>
            </w:r>
          </w:p>
        </w:tc>
        <w:tc>
          <w:tcPr>
            <w:tcW w:w="2304" w:type="dxa"/>
          </w:tcPr>
          <w:p>
            <w:pPr>
              <w:pStyle w:val="TableParagraph"/>
              <w:spacing w:before="96"/>
              <w:ind w:left="249"/>
              <w:rPr>
                <w:sz w:val="22"/>
              </w:rPr>
            </w:pPr>
            <w:r>
              <w:rPr>
                <w:sz w:val="22"/>
              </w:rPr>
              <w:t>85 407 233,77 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€</w:t>
            </w:r>
          </w:p>
        </w:tc>
      </w:tr>
      <w:tr>
        <w:trPr>
          <w:trHeight w:val="521" w:hRule="exact"/>
        </w:trPr>
        <w:tc>
          <w:tcPr>
            <w:tcW w:w="2568" w:type="dxa"/>
          </w:tcPr>
          <w:p>
            <w:pPr>
              <w:pStyle w:val="TableParagraph"/>
              <w:spacing w:before="125"/>
              <w:ind w:left="67"/>
              <w:rPr>
                <w:b/>
                <w:sz w:val="22"/>
              </w:rPr>
            </w:pPr>
            <w:r>
              <w:rPr>
                <w:b/>
                <w:sz w:val="22"/>
              </w:rPr>
              <w:t>SPOLU :</w:t>
            </w:r>
          </w:p>
        </w:tc>
        <w:tc>
          <w:tcPr>
            <w:tcW w:w="2258" w:type="dxa"/>
          </w:tcPr>
          <w:p>
            <w:pPr>
              <w:pStyle w:val="TableParagraph"/>
              <w:spacing w:before="125"/>
              <w:ind w:left="248" w:right="24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310 832 010,74 €</w:t>
            </w:r>
          </w:p>
        </w:tc>
        <w:tc>
          <w:tcPr>
            <w:tcW w:w="2242" w:type="dxa"/>
          </w:tcPr>
          <w:p>
            <w:pPr>
              <w:pStyle w:val="TableParagraph"/>
              <w:spacing w:before="125"/>
              <w:ind w:left="259"/>
              <w:rPr>
                <w:b/>
                <w:sz w:val="22"/>
              </w:rPr>
            </w:pPr>
            <w:r>
              <w:rPr>
                <w:b/>
                <w:sz w:val="22"/>
              </w:rPr>
              <w:t>316.520.958,57 €</w:t>
            </w:r>
          </w:p>
        </w:tc>
        <w:tc>
          <w:tcPr>
            <w:tcW w:w="2304" w:type="dxa"/>
          </w:tcPr>
          <w:p>
            <w:pPr>
              <w:pStyle w:val="TableParagraph"/>
              <w:spacing w:before="125"/>
              <w:ind w:left="64"/>
              <w:rPr>
                <w:b/>
                <w:sz w:val="22"/>
              </w:rPr>
            </w:pPr>
            <w:r>
              <w:rPr>
                <w:b/>
                <w:sz w:val="22"/>
              </w:rPr>
              <w:t>325 785 126,28 €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top="900" w:bottom="280" w:left="1300" w:right="940"/>
        </w:sectPr>
      </w:pPr>
    </w:p>
    <w:p>
      <w:pPr>
        <w:pStyle w:val="Heading1"/>
        <w:spacing w:before="62"/>
        <w:ind w:left="1134" w:right="1856"/>
      </w:pPr>
      <w:bookmarkStart w:name="Stanoviská komisií - Informácia o vykona" w:id="2"/>
      <w:bookmarkEnd w:id="2"/>
      <w:r>
        <w:rPr>
          <w:b w:val="0"/>
        </w:rPr>
      </w:r>
      <w:r>
        <w:rPr/>
        <w:t>Stanoviská komisií Zastupiteľstva BSK</w:t>
      </w:r>
    </w:p>
    <w:p>
      <w:pPr>
        <w:pStyle w:val="Heading2"/>
        <w:spacing w:after="5"/>
        <w:ind w:left="1140" w:right="1856"/>
      </w:pPr>
      <w:r>
        <w:rPr/>
        <w:t>Bod :„Správa o vykonanej inventarizácii nehnuteľného majetku Bratislavského samosprávneho kraja za rok 2016“</w:t>
      </w: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8"/>
        <w:gridCol w:w="2839"/>
        <w:gridCol w:w="1630"/>
        <w:gridCol w:w="3516"/>
        <w:gridCol w:w="3372"/>
      </w:tblGrid>
      <w:tr>
        <w:trPr>
          <w:trHeight w:val="540" w:hRule="exact"/>
        </w:trPr>
        <w:tc>
          <w:tcPr>
            <w:tcW w:w="4428" w:type="dxa"/>
          </w:tcPr>
          <w:p>
            <w:pPr>
              <w:pStyle w:val="TableParagraph"/>
              <w:spacing w:line="248" w:lineRule="exact"/>
              <w:ind w:left="103"/>
              <w:rPr>
                <w:b/>
                <w:sz w:val="22"/>
              </w:rPr>
            </w:pPr>
            <w:r>
              <w:rPr>
                <w:b/>
                <w:sz w:val="22"/>
              </w:rPr>
              <w:t>Názov komisie</w:t>
            </w:r>
          </w:p>
        </w:tc>
        <w:tc>
          <w:tcPr>
            <w:tcW w:w="2839" w:type="dxa"/>
          </w:tcPr>
          <w:p>
            <w:pPr>
              <w:pStyle w:val="TableParagraph"/>
              <w:spacing w:line="242" w:lineRule="auto"/>
              <w:ind w:left="103" w:right="652"/>
              <w:rPr>
                <w:b/>
                <w:sz w:val="22"/>
              </w:rPr>
            </w:pPr>
            <w:r>
              <w:rPr>
                <w:b/>
                <w:sz w:val="22"/>
              </w:rPr>
              <w:t>Stanovisko komisie k návrhu materiálu</w:t>
            </w:r>
          </w:p>
        </w:tc>
        <w:tc>
          <w:tcPr>
            <w:tcW w:w="1630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Hlasovanie</w:t>
            </w:r>
          </w:p>
        </w:tc>
        <w:tc>
          <w:tcPr>
            <w:tcW w:w="3516" w:type="dxa"/>
          </w:tcPr>
          <w:p>
            <w:pPr>
              <w:pStyle w:val="TableParagraph"/>
              <w:spacing w:line="248" w:lineRule="exact"/>
              <w:ind w:left="83" w:right="21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Akceptované / Neakceptované</w:t>
            </w:r>
          </w:p>
        </w:tc>
        <w:tc>
          <w:tcPr>
            <w:tcW w:w="3372" w:type="dxa"/>
          </w:tcPr>
          <w:p>
            <w:pPr>
              <w:pStyle w:val="TableParagraph"/>
              <w:spacing w:line="248" w:lineRule="exact"/>
              <w:ind w:left="103"/>
              <w:rPr>
                <w:b/>
                <w:sz w:val="22"/>
              </w:rPr>
            </w:pPr>
            <w:r>
              <w:rPr>
                <w:b/>
                <w:sz w:val="22"/>
              </w:rPr>
              <w:t>Zapracované / Nezapracované</w:t>
            </w:r>
          </w:p>
        </w:tc>
      </w:tr>
      <w:tr>
        <w:trPr>
          <w:trHeight w:val="1159" w:hRule="exact"/>
        </w:trPr>
        <w:tc>
          <w:tcPr>
            <w:tcW w:w="4428" w:type="dxa"/>
          </w:tcPr>
          <w:p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ind w:left="103"/>
              <w:rPr>
                <w:sz w:val="22"/>
              </w:rPr>
            </w:pPr>
            <w:r>
              <w:rPr>
                <w:sz w:val="22"/>
              </w:rPr>
              <w:t>Komisia zdravotníctva a sociálnych vecí</w:t>
            </w:r>
          </w:p>
        </w:tc>
        <w:tc>
          <w:tcPr>
            <w:tcW w:w="2839" w:type="dxa"/>
          </w:tcPr>
          <w:p>
            <w:pPr>
              <w:pStyle w:val="TableParagraph"/>
              <w:ind w:left="103" w:right="314"/>
              <w:rPr>
                <w:sz w:val="20"/>
              </w:rPr>
            </w:pPr>
            <w:r>
              <w:rPr>
                <w:sz w:val="20"/>
              </w:rPr>
              <w:t>Komisia materiál prerokovala, odporúča ho v zmysle návrhu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uznesenia predložiť na rokovanie Zastupiteľstva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BSK</w:t>
            </w:r>
          </w:p>
        </w:tc>
        <w:tc>
          <w:tcPr>
            <w:tcW w:w="1630" w:type="dxa"/>
          </w:tcPr>
          <w:p>
            <w:pPr>
              <w:pStyle w:val="TableParagraph"/>
              <w:tabs>
                <w:tab w:pos="1077" w:val="left" w:leader="none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Prítomní</w:t>
              <w:tab/>
              <w:t>5</w:t>
            </w:r>
          </w:p>
          <w:p>
            <w:pPr>
              <w:pStyle w:val="TableParagraph"/>
              <w:tabs>
                <w:tab w:pos="1221" w:val="right" w:leader="none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Za</w:t>
              <w:tab/>
              <w:t>5</w:t>
            </w:r>
          </w:p>
          <w:p>
            <w:pPr>
              <w:pStyle w:val="TableParagraph"/>
              <w:tabs>
                <w:tab w:pos="1065" w:val="left" w:leader="none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Proti</w:t>
              <w:tab/>
              <w:t>0</w:t>
            </w:r>
          </w:p>
          <w:p>
            <w:pPr>
              <w:pStyle w:val="TableParagraph"/>
              <w:tabs>
                <w:tab w:pos="1098" w:val="left" w:leader="none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Zdržal</w:t>
              <w:tab/>
              <w:t>0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Nehlasoval 0</w:t>
            </w:r>
          </w:p>
        </w:tc>
        <w:tc>
          <w:tcPr>
            <w:tcW w:w="3516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>
            <w:pPr>
              <w:pStyle w:val="TableParagraph"/>
              <w:ind w:left="83" w:right="84"/>
              <w:jc w:val="center"/>
              <w:rPr>
                <w:sz w:val="22"/>
              </w:rPr>
            </w:pPr>
            <w:r>
              <w:rPr>
                <w:sz w:val="22"/>
              </w:rPr>
              <w:t>akceptované</w:t>
            </w:r>
          </w:p>
        </w:tc>
        <w:tc>
          <w:tcPr>
            <w:tcW w:w="3372" w:type="dxa"/>
          </w:tcPr>
          <w:p>
            <w:pPr/>
          </w:p>
        </w:tc>
      </w:tr>
      <w:tr>
        <w:trPr>
          <w:trHeight w:val="1274" w:hRule="exact"/>
        </w:trPr>
        <w:tc>
          <w:tcPr>
            <w:tcW w:w="4428" w:type="dxa"/>
          </w:tcPr>
          <w:p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ind w:left="103"/>
              <w:rPr>
                <w:sz w:val="22"/>
              </w:rPr>
            </w:pPr>
            <w:r>
              <w:rPr>
                <w:sz w:val="22"/>
              </w:rPr>
              <w:t>Komisia dopravy</w:t>
            </w:r>
          </w:p>
        </w:tc>
        <w:tc>
          <w:tcPr>
            <w:tcW w:w="2839" w:type="dxa"/>
          </w:tcPr>
          <w:p>
            <w:pPr>
              <w:pStyle w:val="TableParagraph"/>
              <w:ind w:left="103" w:right="249"/>
              <w:rPr>
                <w:sz w:val="20"/>
              </w:rPr>
            </w:pPr>
            <w:r>
              <w:rPr>
                <w:sz w:val="20"/>
              </w:rPr>
              <w:t>Komisia odporúča predložený materiál zobrať na vedomie v zmysle navrhnutého uznesenia</w:t>
            </w:r>
          </w:p>
        </w:tc>
        <w:tc>
          <w:tcPr>
            <w:tcW w:w="1630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Prítomní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6</w:t>
            </w:r>
          </w:p>
          <w:p>
            <w:pPr>
              <w:pStyle w:val="TableParagraph"/>
              <w:tabs>
                <w:tab w:pos="1217" w:val="right" w:leader="none"/>
              </w:tabs>
              <w:spacing w:line="252" w:lineRule="exact"/>
              <w:rPr>
                <w:sz w:val="22"/>
              </w:rPr>
            </w:pPr>
            <w:r>
              <w:rPr>
                <w:sz w:val="22"/>
              </w:rPr>
              <w:t>Za</w:t>
              <w:tab/>
              <w:t>6</w:t>
            </w:r>
          </w:p>
          <w:p>
            <w:pPr>
              <w:pStyle w:val="TableParagraph"/>
              <w:tabs>
                <w:tab w:pos="1106" w:val="left" w:leader="none"/>
              </w:tabs>
              <w:spacing w:line="252" w:lineRule="exact" w:before="1"/>
              <w:rPr>
                <w:sz w:val="22"/>
              </w:rPr>
            </w:pPr>
            <w:r>
              <w:rPr>
                <w:sz w:val="22"/>
              </w:rPr>
              <w:t>Proti</w:t>
              <w:tab/>
              <w:t>0</w:t>
            </w:r>
          </w:p>
          <w:p>
            <w:pPr>
              <w:pStyle w:val="TableParagraph"/>
              <w:tabs>
                <w:tab w:pos="1082" w:val="left" w:leader="none"/>
              </w:tabs>
              <w:spacing w:line="252" w:lineRule="exact"/>
              <w:rPr>
                <w:sz w:val="22"/>
              </w:rPr>
            </w:pPr>
            <w:r>
              <w:rPr>
                <w:sz w:val="22"/>
              </w:rPr>
              <w:t>Zdržal</w:t>
              <w:tab/>
              <w:t>0</w:t>
            </w:r>
          </w:p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sz w:val="22"/>
              </w:rPr>
              <w:t>Nehlasoval 0</w:t>
            </w:r>
          </w:p>
        </w:tc>
        <w:tc>
          <w:tcPr>
            <w:tcW w:w="3516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>
            <w:pPr>
              <w:pStyle w:val="TableParagraph"/>
              <w:ind w:left="83" w:right="84"/>
              <w:jc w:val="center"/>
              <w:rPr>
                <w:sz w:val="22"/>
              </w:rPr>
            </w:pPr>
            <w:r>
              <w:rPr>
                <w:sz w:val="22"/>
              </w:rPr>
              <w:t>akceptované</w:t>
            </w:r>
          </w:p>
        </w:tc>
        <w:tc>
          <w:tcPr>
            <w:tcW w:w="3372" w:type="dxa"/>
          </w:tcPr>
          <w:p>
            <w:pPr/>
          </w:p>
        </w:tc>
      </w:tr>
      <w:tr>
        <w:trPr>
          <w:trHeight w:val="1274" w:hRule="exact"/>
        </w:trPr>
        <w:tc>
          <w:tcPr>
            <w:tcW w:w="4428" w:type="dxa"/>
          </w:tcPr>
          <w:p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ind w:left="103" w:right="88"/>
              <w:rPr>
                <w:sz w:val="22"/>
              </w:rPr>
            </w:pPr>
            <w:r>
              <w:rPr>
                <w:sz w:val="22"/>
              </w:rPr>
              <w:t>Komisia európskych záležitostí, regionálnej spolupráce a cestovného ruchu</w:t>
            </w:r>
          </w:p>
        </w:tc>
        <w:tc>
          <w:tcPr>
            <w:tcW w:w="2839" w:type="dxa"/>
          </w:tcPr>
          <w:p>
            <w:pPr>
              <w:pStyle w:val="TableParagraph"/>
              <w:ind w:left="103" w:right="249"/>
              <w:rPr>
                <w:sz w:val="20"/>
              </w:rPr>
            </w:pPr>
            <w:r>
              <w:rPr>
                <w:sz w:val="20"/>
              </w:rPr>
              <w:t>Komisia odporúča predložený materiál zobrať na vedomie v zmysle navrhnutého uznesenia</w:t>
            </w:r>
          </w:p>
        </w:tc>
        <w:tc>
          <w:tcPr>
            <w:tcW w:w="1630" w:type="dxa"/>
          </w:tcPr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sz w:val="22"/>
              </w:rPr>
              <w:t>Prítomní </w:t>
            </w:r>
            <w:r>
              <w:rPr>
                <w:spacing w:val="58"/>
                <w:sz w:val="22"/>
              </w:rPr>
              <w:t> </w:t>
            </w:r>
            <w:r>
              <w:rPr>
                <w:sz w:val="22"/>
              </w:rPr>
              <w:t>6</w:t>
            </w:r>
          </w:p>
          <w:p>
            <w:pPr>
              <w:pStyle w:val="TableParagraph"/>
              <w:tabs>
                <w:tab w:pos="1217" w:val="right" w:leader="none"/>
              </w:tabs>
              <w:spacing w:line="252" w:lineRule="exact" w:before="1"/>
              <w:rPr>
                <w:sz w:val="22"/>
              </w:rPr>
            </w:pPr>
            <w:r>
              <w:rPr>
                <w:sz w:val="22"/>
              </w:rPr>
              <w:t>Za</w:t>
              <w:tab/>
              <w:t>6</w:t>
            </w:r>
          </w:p>
          <w:p>
            <w:pPr>
              <w:pStyle w:val="TableParagraph"/>
              <w:tabs>
                <w:tab w:pos="1106" w:val="left" w:leader="none"/>
              </w:tabs>
              <w:spacing w:line="252" w:lineRule="exact"/>
              <w:rPr>
                <w:sz w:val="22"/>
              </w:rPr>
            </w:pPr>
            <w:r>
              <w:rPr>
                <w:sz w:val="22"/>
              </w:rPr>
              <w:t>Proti</w:t>
              <w:tab/>
              <w:t>0</w:t>
            </w:r>
          </w:p>
          <w:p>
            <w:pPr>
              <w:pStyle w:val="TableParagraph"/>
              <w:tabs>
                <w:tab w:pos="1082" w:val="left" w:leader="none"/>
              </w:tabs>
              <w:spacing w:line="253" w:lineRule="exact" w:before="2"/>
              <w:rPr>
                <w:sz w:val="22"/>
              </w:rPr>
            </w:pPr>
            <w:r>
              <w:rPr>
                <w:sz w:val="22"/>
              </w:rPr>
              <w:t>Zdržal</w:t>
              <w:tab/>
              <w:t>0</w:t>
            </w:r>
          </w:p>
          <w:p>
            <w:pPr>
              <w:pStyle w:val="TableParagraph"/>
              <w:spacing w:line="253" w:lineRule="exact"/>
              <w:rPr>
                <w:sz w:val="22"/>
              </w:rPr>
            </w:pPr>
            <w:r>
              <w:rPr>
                <w:sz w:val="22"/>
              </w:rPr>
              <w:t>Nehlasoval 0</w:t>
            </w:r>
          </w:p>
        </w:tc>
        <w:tc>
          <w:tcPr>
            <w:tcW w:w="3516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>
            <w:pPr>
              <w:pStyle w:val="TableParagraph"/>
              <w:ind w:left="83" w:right="83"/>
              <w:jc w:val="center"/>
              <w:rPr>
                <w:sz w:val="22"/>
              </w:rPr>
            </w:pPr>
            <w:r>
              <w:rPr>
                <w:sz w:val="22"/>
              </w:rPr>
              <w:t>akceptované</w:t>
            </w:r>
          </w:p>
        </w:tc>
        <w:tc>
          <w:tcPr>
            <w:tcW w:w="3372" w:type="dxa"/>
          </w:tcPr>
          <w:p>
            <w:pPr/>
          </w:p>
        </w:tc>
      </w:tr>
      <w:tr>
        <w:trPr>
          <w:trHeight w:val="1277" w:hRule="exact"/>
        </w:trPr>
        <w:tc>
          <w:tcPr>
            <w:tcW w:w="4428" w:type="dxa"/>
          </w:tcPr>
          <w:p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ind w:left="103"/>
              <w:rPr>
                <w:sz w:val="22"/>
              </w:rPr>
            </w:pPr>
            <w:r>
              <w:rPr>
                <w:sz w:val="22"/>
              </w:rPr>
              <w:t>Komisia kultúry</w:t>
            </w:r>
          </w:p>
        </w:tc>
        <w:tc>
          <w:tcPr>
            <w:tcW w:w="2839" w:type="dxa"/>
          </w:tcPr>
          <w:p>
            <w:pPr>
              <w:pStyle w:val="TableParagraph"/>
              <w:tabs>
                <w:tab w:pos="2013" w:val="left" w:leader="none"/>
              </w:tabs>
              <w:ind w:left="103" w:right="98"/>
              <w:jc w:val="both"/>
              <w:rPr>
                <w:sz w:val="20"/>
              </w:rPr>
            </w:pPr>
            <w:r>
              <w:rPr>
                <w:sz w:val="20"/>
              </w:rPr>
              <w:t>Komisia berie na vedomie predložený</w:t>
              <w:tab/>
              <w:t>materiál a odporúča Z BSK materiál prerokovať a zobrať na vedomie</w:t>
            </w:r>
          </w:p>
        </w:tc>
        <w:tc>
          <w:tcPr>
            <w:tcW w:w="1630" w:type="dxa"/>
          </w:tcPr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sz w:val="22"/>
              </w:rPr>
              <w:t>Prítomní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6</w:t>
            </w:r>
          </w:p>
          <w:p>
            <w:pPr>
              <w:pStyle w:val="TableParagraph"/>
              <w:tabs>
                <w:tab w:pos="1217" w:val="right" w:leader="none"/>
              </w:tabs>
              <w:spacing w:line="252" w:lineRule="exact" w:before="1"/>
              <w:rPr>
                <w:sz w:val="22"/>
              </w:rPr>
            </w:pPr>
            <w:r>
              <w:rPr>
                <w:sz w:val="22"/>
              </w:rPr>
              <w:t>Za</w:t>
              <w:tab/>
              <w:t>6</w:t>
            </w:r>
          </w:p>
          <w:p>
            <w:pPr>
              <w:pStyle w:val="TableParagraph"/>
              <w:tabs>
                <w:tab w:pos="1106" w:val="left" w:leader="none"/>
              </w:tabs>
              <w:spacing w:line="252" w:lineRule="exact"/>
              <w:rPr>
                <w:sz w:val="22"/>
              </w:rPr>
            </w:pPr>
            <w:r>
              <w:rPr>
                <w:sz w:val="22"/>
              </w:rPr>
              <w:t>Proti</w:t>
              <w:tab/>
              <w:t>0</w:t>
            </w:r>
          </w:p>
          <w:p>
            <w:pPr>
              <w:pStyle w:val="TableParagraph"/>
              <w:tabs>
                <w:tab w:pos="1082" w:val="left" w:leader="none"/>
              </w:tabs>
              <w:spacing w:line="253" w:lineRule="exact" w:before="2"/>
              <w:rPr>
                <w:sz w:val="22"/>
              </w:rPr>
            </w:pPr>
            <w:r>
              <w:rPr>
                <w:sz w:val="22"/>
              </w:rPr>
              <w:t>Zdržal</w:t>
              <w:tab/>
              <w:t>0</w:t>
            </w:r>
          </w:p>
          <w:p>
            <w:pPr>
              <w:pStyle w:val="TableParagraph"/>
              <w:spacing w:line="253" w:lineRule="exact"/>
              <w:rPr>
                <w:sz w:val="22"/>
              </w:rPr>
            </w:pPr>
            <w:r>
              <w:rPr>
                <w:sz w:val="22"/>
              </w:rPr>
              <w:t>Nehlasoval 0</w:t>
            </w:r>
          </w:p>
        </w:tc>
        <w:tc>
          <w:tcPr>
            <w:tcW w:w="3516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>
            <w:pPr>
              <w:pStyle w:val="TableParagraph"/>
              <w:ind w:left="83" w:right="55"/>
              <w:jc w:val="center"/>
              <w:rPr>
                <w:sz w:val="22"/>
              </w:rPr>
            </w:pPr>
            <w:r>
              <w:rPr>
                <w:sz w:val="22"/>
              </w:rPr>
              <w:t>akceptované</w:t>
            </w:r>
          </w:p>
        </w:tc>
        <w:tc>
          <w:tcPr>
            <w:tcW w:w="3372" w:type="dxa"/>
          </w:tcPr>
          <w:p>
            <w:pPr/>
          </w:p>
        </w:tc>
      </w:tr>
      <w:tr>
        <w:trPr>
          <w:trHeight w:val="1274" w:hRule="exact"/>
        </w:trPr>
        <w:tc>
          <w:tcPr>
            <w:tcW w:w="4428" w:type="dxa"/>
          </w:tcPr>
          <w:p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ind w:left="103" w:right="259"/>
              <w:rPr>
                <w:sz w:val="22"/>
              </w:rPr>
            </w:pPr>
            <w:r>
              <w:rPr>
                <w:sz w:val="22"/>
              </w:rPr>
              <w:t>Komisia regionálneho rozvoja, územného plánovania a životného prostredia</w:t>
            </w:r>
          </w:p>
        </w:tc>
        <w:tc>
          <w:tcPr>
            <w:tcW w:w="2839" w:type="dxa"/>
          </w:tcPr>
          <w:p>
            <w:pPr>
              <w:pStyle w:val="TableParagraph"/>
              <w:ind w:left="103" w:right="102"/>
              <w:jc w:val="both"/>
              <w:rPr>
                <w:sz w:val="20"/>
              </w:rPr>
            </w:pPr>
            <w:r>
              <w:rPr>
                <w:sz w:val="20"/>
              </w:rPr>
              <w:t>Komisia odporúča Z BSK predložený materiál  zobrať na vedomie.</w:t>
            </w:r>
          </w:p>
        </w:tc>
        <w:tc>
          <w:tcPr>
            <w:tcW w:w="1630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Prítomní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8</w:t>
            </w:r>
          </w:p>
          <w:p>
            <w:pPr>
              <w:pStyle w:val="TableParagraph"/>
              <w:tabs>
                <w:tab w:pos="1155" w:val="right" w:leader="none"/>
              </w:tabs>
              <w:spacing w:line="252" w:lineRule="exact"/>
              <w:rPr>
                <w:sz w:val="22"/>
              </w:rPr>
            </w:pPr>
            <w:r>
              <w:rPr>
                <w:sz w:val="22"/>
              </w:rPr>
              <w:t>Za</w:t>
              <w:tab/>
              <w:t>8</w:t>
            </w:r>
          </w:p>
          <w:p>
            <w:pPr>
              <w:pStyle w:val="TableParagraph"/>
              <w:tabs>
                <w:tab w:pos="1044" w:val="left" w:leader="none"/>
              </w:tabs>
              <w:spacing w:line="252" w:lineRule="exact" w:before="1"/>
              <w:rPr>
                <w:sz w:val="22"/>
              </w:rPr>
            </w:pPr>
            <w:r>
              <w:rPr>
                <w:sz w:val="22"/>
              </w:rPr>
              <w:t>Proti</w:t>
              <w:tab/>
              <w:t>0</w:t>
            </w:r>
          </w:p>
          <w:p>
            <w:pPr>
              <w:pStyle w:val="TableParagraph"/>
              <w:tabs>
                <w:tab w:pos="1020" w:val="left" w:leader="none"/>
              </w:tabs>
              <w:spacing w:line="252" w:lineRule="exact"/>
              <w:rPr>
                <w:sz w:val="22"/>
              </w:rPr>
            </w:pPr>
            <w:r>
              <w:rPr>
                <w:sz w:val="22"/>
              </w:rPr>
              <w:t>Zdržal</w:t>
              <w:tab/>
              <w:t>0</w:t>
            </w:r>
          </w:p>
          <w:p>
            <w:pPr>
              <w:pStyle w:val="TableParagraph"/>
              <w:spacing w:line="253" w:lineRule="exact"/>
              <w:rPr>
                <w:sz w:val="22"/>
              </w:rPr>
            </w:pPr>
            <w:r>
              <w:rPr>
                <w:sz w:val="22"/>
              </w:rPr>
              <w:t>Nehlasoval 0</w:t>
            </w:r>
          </w:p>
        </w:tc>
        <w:tc>
          <w:tcPr>
            <w:tcW w:w="3516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>
            <w:pPr>
              <w:pStyle w:val="TableParagraph"/>
              <w:ind w:left="83" w:right="84"/>
              <w:jc w:val="center"/>
              <w:rPr>
                <w:sz w:val="22"/>
              </w:rPr>
            </w:pPr>
            <w:r>
              <w:rPr>
                <w:sz w:val="22"/>
              </w:rPr>
              <w:t>akceptované</w:t>
            </w:r>
          </w:p>
        </w:tc>
        <w:tc>
          <w:tcPr>
            <w:tcW w:w="3372" w:type="dxa"/>
          </w:tcPr>
          <w:p>
            <w:pPr/>
          </w:p>
        </w:tc>
      </w:tr>
      <w:tr>
        <w:trPr>
          <w:trHeight w:val="1274" w:hRule="exact"/>
        </w:trPr>
        <w:tc>
          <w:tcPr>
            <w:tcW w:w="4428" w:type="dxa"/>
          </w:tcPr>
          <w:p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ind w:left="103"/>
              <w:rPr>
                <w:sz w:val="22"/>
              </w:rPr>
            </w:pPr>
            <w:r>
              <w:rPr>
                <w:sz w:val="22"/>
              </w:rPr>
              <w:t>Komisia školstva, športu a mládeže</w:t>
            </w:r>
          </w:p>
        </w:tc>
        <w:tc>
          <w:tcPr>
            <w:tcW w:w="2839" w:type="dxa"/>
          </w:tcPr>
          <w:p>
            <w:pPr>
              <w:pStyle w:val="TableParagraph"/>
              <w:ind w:left="103" w:right="249"/>
              <w:rPr>
                <w:sz w:val="20"/>
              </w:rPr>
            </w:pPr>
            <w:r>
              <w:rPr>
                <w:sz w:val="20"/>
              </w:rPr>
              <w:t>Komisia zobrala predložený materiál na vedomie</w:t>
            </w:r>
          </w:p>
          <w:p>
            <w:pPr>
              <w:pStyle w:val="TableParagraph"/>
              <w:spacing w:before="3"/>
              <w:ind w:left="103" w:right="205"/>
              <w:rPr>
                <w:sz w:val="20"/>
              </w:rPr>
            </w:pPr>
            <w:r>
              <w:rPr>
                <w:sz w:val="20"/>
              </w:rPr>
              <w:t>a odporúča v zmysle návrhu uznesenia predložiť na rokovanie Z BSK.</w:t>
            </w:r>
          </w:p>
        </w:tc>
        <w:tc>
          <w:tcPr>
            <w:tcW w:w="1630" w:type="dxa"/>
          </w:tcPr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Prítomní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8</w:t>
            </w:r>
          </w:p>
          <w:p>
            <w:pPr>
              <w:pStyle w:val="TableParagraph"/>
              <w:tabs>
                <w:tab w:pos="1217" w:val="right" w:leader="none"/>
              </w:tabs>
              <w:spacing w:line="252" w:lineRule="exact"/>
              <w:rPr>
                <w:sz w:val="22"/>
              </w:rPr>
            </w:pPr>
            <w:r>
              <w:rPr>
                <w:sz w:val="22"/>
              </w:rPr>
              <w:t>Za</w:t>
              <w:tab/>
              <w:t>7</w:t>
            </w:r>
          </w:p>
          <w:p>
            <w:pPr>
              <w:pStyle w:val="TableParagraph"/>
              <w:tabs>
                <w:tab w:pos="1106" w:val="left" w:leader="none"/>
              </w:tabs>
              <w:spacing w:line="252" w:lineRule="exact" w:before="1"/>
              <w:rPr>
                <w:sz w:val="22"/>
              </w:rPr>
            </w:pPr>
            <w:r>
              <w:rPr>
                <w:sz w:val="22"/>
              </w:rPr>
              <w:t>Proti</w:t>
              <w:tab/>
              <w:t>0</w:t>
            </w:r>
          </w:p>
          <w:p>
            <w:pPr>
              <w:pStyle w:val="TableParagraph"/>
              <w:tabs>
                <w:tab w:pos="1082" w:val="left" w:leader="none"/>
              </w:tabs>
              <w:spacing w:line="252" w:lineRule="exact"/>
              <w:rPr>
                <w:sz w:val="22"/>
              </w:rPr>
            </w:pPr>
            <w:r>
              <w:rPr>
                <w:sz w:val="22"/>
              </w:rPr>
              <w:t>Zdržal</w:t>
              <w:tab/>
              <w:t>0</w:t>
            </w:r>
          </w:p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sz w:val="22"/>
              </w:rPr>
              <w:t>Nehlasoval 1</w:t>
            </w:r>
          </w:p>
        </w:tc>
        <w:tc>
          <w:tcPr>
            <w:tcW w:w="3516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156"/>
              <w:ind w:left="83" w:right="81"/>
              <w:jc w:val="center"/>
              <w:rPr>
                <w:sz w:val="24"/>
              </w:rPr>
            </w:pPr>
            <w:r>
              <w:rPr>
                <w:sz w:val="24"/>
              </w:rPr>
              <w:t>akceptované</w:t>
            </w:r>
          </w:p>
        </w:tc>
        <w:tc>
          <w:tcPr>
            <w:tcW w:w="3372" w:type="dxa"/>
          </w:tcPr>
          <w:p>
            <w:pPr/>
          </w:p>
        </w:tc>
      </w:tr>
      <w:tr>
        <w:trPr>
          <w:trHeight w:val="1022" w:hRule="exact"/>
        </w:trPr>
        <w:tc>
          <w:tcPr>
            <w:tcW w:w="4428" w:type="dxa"/>
          </w:tcPr>
          <w:p>
            <w:pPr>
              <w:pStyle w:val="TableParagraph"/>
              <w:spacing w:line="251" w:lineRule="exact"/>
              <w:ind w:left="103"/>
              <w:rPr>
                <w:sz w:val="22"/>
              </w:rPr>
            </w:pPr>
            <w:r>
              <w:rPr>
                <w:sz w:val="22"/>
              </w:rPr>
              <w:t>Finančná komisia</w:t>
            </w:r>
          </w:p>
        </w:tc>
        <w:tc>
          <w:tcPr>
            <w:tcW w:w="2839" w:type="dxa"/>
          </w:tcPr>
          <w:p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Komisia odporúča Z BSK</w:t>
            </w:r>
          </w:p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zobrať na vedomie materiál</w:t>
            </w:r>
          </w:p>
        </w:tc>
        <w:tc>
          <w:tcPr>
            <w:tcW w:w="1630" w:type="dxa"/>
          </w:tcPr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sz w:val="22"/>
              </w:rPr>
              <w:t>Prítomní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6</w:t>
            </w:r>
          </w:p>
          <w:p>
            <w:pPr>
              <w:pStyle w:val="TableParagraph"/>
              <w:tabs>
                <w:tab w:pos="1217" w:val="right" w:leader="none"/>
              </w:tabs>
              <w:spacing w:line="252" w:lineRule="exact" w:before="1"/>
              <w:rPr>
                <w:sz w:val="22"/>
              </w:rPr>
            </w:pPr>
            <w:r>
              <w:rPr>
                <w:sz w:val="22"/>
              </w:rPr>
              <w:t>Za</w:t>
              <w:tab/>
              <w:t>6</w:t>
            </w:r>
          </w:p>
          <w:p>
            <w:pPr>
              <w:pStyle w:val="TableParagraph"/>
              <w:tabs>
                <w:tab w:pos="1106" w:val="left" w:leader="none"/>
              </w:tabs>
              <w:spacing w:line="252" w:lineRule="exact"/>
              <w:rPr>
                <w:sz w:val="22"/>
              </w:rPr>
            </w:pPr>
            <w:r>
              <w:rPr>
                <w:sz w:val="22"/>
              </w:rPr>
              <w:t>Proti</w:t>
              <w:tab/>
              <w:t>0</w:t>
            </w:r>
          </w:p>
          <w:p>
            <w:pPr>
              <w:pStyle w:val="TableParagraph"/>
              <w:tabs>
                <w:tab w:pos="1082" w:val="left" w:leader="none"/>
              </w:tabs>
              <w:spacing w:line="253" w:lineRule="exact"/>
              <w:rPr>
                <w:sz w:val="22"/>
              </w:rPr>
            </w:pPr>
            <w:r>
              <w:rPr>
                <w:sz w:val="22"/>
              </w:rPr>
              <w:t>Zdržal</w:t>
              <w:tab/>
              <w:t>0</w:t>
            </w:r>
          </w:p>
        </w:tc>
        <w:tc>
          <w:tcPr>
            <w:tcW w:w="3516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ind w:left="83" w:right="81"/>
              <w:jc w:val="center"/>
              <w:rPr>
                <w:sz w:val="24"/>
              </w:rPr>
            </w:pPr>
            <w:r>
              <w:rPr>
                <w:sz w:val="24"/>
              </w:rPr>
              <w:t>akceptované</w:t>
            </w:r>
          </w:p>
        </w:tc>
        <w:tc>
          <w:tcPr>
            <w:tcW w:w="3372" w:type="dxa"/>
          </w:tcPr>
          <w:p>
            <w:pPr/>
          </w:p>
        </w:tc>
      </w:tr>
    </w:tbl>
    <w:p>
      <w:pPr>
        <w:spacing w:after="0"/>
        <w:sectPr>
          <w:pgSz w:w="16840" w:h="11910" w:orient="landscape"/>
          <w:pgMar w:top="920" w:bottom="280" w:left="620" w:right="18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8"/>
        <w:gridCol w:w="2839"/>
        <w:gridCol w:w="1630"/>
        <w:gridCol w:w="3516"/>
        <w:gridCol w:w="3372"/>
      </w:tblGrid>
      <w:tr>
        <w:trPr>
          <w:trHeight w:val="262" w:hRule="exact"/>
        </w:trPr>
        <w:tc>
          <w:tcPr>
            <w:tcW w:w="4428" w:type="dxa"/>
          </w:tcPr>
          <w:p>
            <w:pPr/>
          </w:p>
        </w:tc>
        <w:tc>
          <w:tcPr>
            <w:tcW w:w="2839" w:type="dxa"/>
          </w:tcPr>
          <w:p>
            <w:pPr/>
          </w:p>
        </w:tc>
        <w:tc>
          <w:tcPr>
            <w:tcW w:w="1630" w:type="dxa"/>
          </w:tcPr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sz w:val="22"/>
              </w:rPr>
              <w:t>Nehlasoval 0</w:t>
            </w:r>
          </w:p>
        </w:tc>
        <w:tc>
          <w:tcPr>
            <w:tcW w:w="3516" w:type="dxa"/>
          </w:tcPr>
          <w:p>
            <w:pPr/>
          </w:p>
        </w:tc>
        <w:tc>
          <w:tcPr>
            <w:tcW w:w="3372" w:type="dxa"/>
          </w:tcPr>
          <w:p>
            <w:pPr/>
          </w:p>
        </w:tc>
      </w:tr>
      <w:tr>
        <w:trPr>
          <w:trHeight w:val="1277" w:hRule="exact"/>
        </w:trPr>
        <w:tc>
          <w:tcPr>
            <w:tcW w:w="4428" w:type="dxa"/>
          </w:tcPr>
          <w:p>
            <w:pPr>
              <w:pStyle w:val="TableParagraph"/>
              <w:spacing w:line="242" w:lineRule="auto"/>
              <w:ind w:left="103" w:right="492"/>
              <w:rPr>
                <w:sz w:val="22"/>
              </w:rPr>
            </w:pPr>
            <w:r>
              <w:rPr>
                <w:sz w:val="22"/>
              </w:rPr>
              <w:t>Komisia majetku, investícií a verejného obstarávania</w:t>
            </w:r>
          </w:p>
        </w:tc>
        <w:tc>
          <w:tcPr>
            <w:tcW w:w="2839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Komisia odporúča tento predložiť na rokovanie Zastupiteľstva BSK a schváliť predložený návrh uznesenia.</w:t>
            </w:r>
          </w:p>
        </w:tc>
        <w:tc>
          <w:tcPr>
            <w:tcW w:w="1630" w:type="dxa"/>
          </w:tcPr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sz w:val="22"/>
              </w:rPr>
              <w:t>Prítomní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5</w:t>
            </w:r>
          </w:p>
          <w:p>
            <w:pPr>
              <w:pStyle w:val="TableParagraph"/>
              <w:tabs>
                <w:tab w:pos="1217" w:val="right" w:leader="none"/>
              </w:tabs>
              <w:spacing w:line="252" w:lineRule="exact" w:before="1"/>
              <w:rPr>
                <w:sz w:val="22"/>
              </w:rPr>
            </w:pPr>
            <w:r>
              <w:rPr>
                <w:sz w:val="22"/>
              </w:rPr>
              <w:t>Za</w:t>
              <w:tab/>
              <w:t>5</w:t>
            </w:r>
          </w:p>
          <w:p>
            <w:pPr>
              <w:pStyle w:val="TableParagraph"/>
              <w:tabs>
                <w:tab w:pos="1106" w:val="left" w:leader="none"/>
              </w:tabs>
              <w:spacing w:line="252" w:lineRule="exact"/>
              <w:rPr>
                <w:sz w:val="22"/>
              </w:rPr>
            </w:pPr>
            <w:r>
              <w:rPr>
                <w:sz w:val="22"/>
              </w:rPr>
              <w:t>Proti</w:t>
              <w:tab/>
              <w:t>0</w:t>
            </w:r>
          </w:p>
          <w:p>
            <w:pPr>
              <w:pStyle w:val="TableParagraph"/>
              <w:tabs>
                <w:tab w:pos="1082" w:val="left" w:leader="none"/>
              </w:tabs>
              <w:spacing w:line="253" w:lineRule="exact" w:before="2"/>
              <w:rPr>
                <w:sz w:val="22"/>
              </w:rPr>
            </w:pPr>
            <w:r>
              <w:rPr>
                <w:sz w:val="22"/>
              </w:rPr>
              <w:t>Zdržal</w:t>
              <w:tab/>
              <w:t>0</w:t>
            </w:r>
          </w:p>
          <w:p>
            <w:pPr>
              <w:pStyle w:val="TableParagraph"/>
              <w:spacing w:line="253" w:lineRule="exact"/>
              <w:rPr>
                <w:sz w:val="22"/>
              </w:rPr>
            </w:pPr>
            <w:r>
              <w:rPr>
                <w:sz w:val="22"/>
              </w:rPr>
              <w:t>Nehlasoval 0</w:t>
            </w:r>
          </w:p>
        </w:tc>
        <w:tc>
          <w:tcPr>
            <w:tcW w:w="3516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ind w:left="1072"/>
              <w:rPr>
                <w:sz w:val="24"/>
              </w:rPr>
            </w:pPr>
            <w:r>
              <w:rPr>
                <w:sz w:val="24"/>
              </w:rPr>
              <w:t>akceptované</w:t>
            </w:r>
          </w:p>
        </w:tc>
        <w:tc>
          <w:tcPr>
            <w:tcW w:w="3372" w:type="dxa"/>
          </w:tcPr>
          <w:p>
            <w:pPr/>
          </w:p>
        </w:tc>
      </w:tr>
    </w:tbl>
    <w:p>
      <w:pPr>
        <w:spacing w:before="2"/>
        <w:ind w:left="232" w:right="0" w:firstLine="0"/>
        <w:jc w:val="left"/>
        <w:rPr>
          <w:sz w:val="22"/>
        </w:rPr>
      </w:pPr>
      <w:r>
        <w:rPr>
          <w:sz w:val="22"/>
        </w:rPr>
        <w:t>V stĺpci </w:t>
      </w:r>
      <w:r>
        <w:rPr>
          <w:b/>
          <w:sz w:val="22"/>
        </w:rPr>
        <w:t>zapracované / nezapracované pripomienky  </w:t>
      </w:r>
      <w:r>
        <w:rPr>
          <w:sz w:val="22"/>
        </w:rPr>
        <w:t>uviesť či boli / neboli zapracované, ak nie, uviesť dôvod.</w:t>
      </w:r>
    </w:p>
    <w:sectPr>
      <w:pgSz w:w="16840" w:h="11910" w:orient="landscape"/>
      <w:pgMar w:top="980" w:bottom="280" w:left="620" w:right="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"/>
      <w:lvlJc w:val="left"/>
      <w:pPr>
        <w:ind w:left="476" w:hanging="361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362" w:hanging="36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45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27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10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93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75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658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41" w:hanging="361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180" w:hanging="360"/>
      </w:pPr>
      <w:rPr>
        <w:rFonts w:hint="default" w:ascii="Arial" w:hAnsi="Arial" w:eastAsia="Arial" w:cs="Aria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992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05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7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30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43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55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68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681" w:hanging="36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956" w:right="961"/>
      <w:jc w:val="center"/>
      <w:outlineLvl w:val="1"/>
    </w:pPr>
    <w:rPr>
      <w:rFonts w:ascii="Arial" w:hAnsi="Arial" w:eastAsia="Arial" w:cs="Arial"/>
      <w:b/>
      <w:bCs/>
      <w:sz w:val="32"/>
      <w:szCs w:val="32"/>
    </w:rPr>
  </w:style>
  <w:style w:styleId="Heading2" w:type="paragraph">
    <w:name w:val="Heading 2"/>
    <w:basedOn w:val="Normal"/>
    <w:uiPriority w:val="1"/>
    <w:qFormat/>
    <w:pPr>
      <w:ind w:right="52"/>
      <w:jc w:val="center"/>
      <w:outlineLvl w:val="2"/>
    </w:pPr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>
      <w:spacing w:line="252" w:lineRule="exact"/>
      <w:ind w:left="1180" w:hanging="36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>
      <w:ind w:left="100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2017-03-21T12:05:51Z</dcterms:created>
  <dcterms:modified xsi:type="dcterms:W3CDTF">2017-03-21T12:05:51Z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15 pro Word</vt:lpwstr>
  </property>
</Properties>
</file>